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76" w:rsidRDefault="00461476"/>
    <w:p w:rsidR="00D64B20" w:rsidRDefault="00D64B20"/>
    <w:p w:rsidR="00D64B20" w:rsidRDefault="00D64B20"/>
    <w:p w:rsidR="00D64B20" w:rsidRDefault="00D64B20" w:rsidP="00D64B20">
      <w:pPr>
        <w:numPr>
          <w:ilvl w:val="1"/>
          <w:numId w:val="1"/>
        </w:numPr>
        <w:spacing w:line="360" w:lineRule="auto"/>
        <w:ind w:left="0"/>
        <w:jc w:val="both"/>
        <w:rPr>
          <w:b/>
          <w:bCs/>
        </w:rPr>
      </w:pPr>
      <w:proofErr w:type="spellStart"/>
      <w:r>
        <w:rPr>
          <w:b/>
          <w:bCs/>
        </w:rPr>
        <w:t>Struktur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</w:t>
      </w:r>
      <w:proofErr w:type="spellEnd"/>
    </w:p>
    <w:p w:rsidR="00D64B20" w:rsidRDefault="00D64B20" w:rsidP="00D64B20">
      <w:pPr>
        <w:spacing w:line="360" w:lineRule="auto"/>
        <w:jc w:val="both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elastis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rumit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9000 N/mm</w:t>
      </w:r>
      <w:r>
        <w:rPr>
          <w:vertAlign w:val="superscript"/>
        </w:rPr>
        <w:t>2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berkekuatan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2 kg/cm</w:t>
      </w:r>
      <w:r>
        <w:rPr>
          <w:vertAlign w:val="superscript"/>
        </w:rPr>
        <w:t>2</w:t>
      </w:r>
      <w:r>
        <w:t xml:space="preserve">. </w:t>
      </w: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, </w:t>
      </w:r>
      <w:proofErr w:type="spellStart"/>
      <w:r>
        <w:t>kenyamanan</w:t>
      </w:r>
      <w:proofErr w:type="spellEnd"/>
      <w:r>
        <w:t xml:space="preserve">,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dipelihara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optimal.</w:t>
      </w:r>
      <w:proofErr w:type="gram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D64B20" w:rsidRDefault="00D64B20" w:rsidP="00D64B20">
      <w:pPr>
        <w:numPr>
          <w:ilvl w:val="0"/>
          <w:numId w:val="2"/>
        </w:numPr>
        <w:spacing w:line="360" w:lineRule="auto"/>
        <w:ind w:left="0"/>
        <w:jc w:val="both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komponen-komponennya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(</w:t>
      </w:r>
      <w:r>
        <w:rPr>
          <w:i/>
          <w:iCs/>
        </w:rPr>
        <w:t>rail</w:t>
      </w:r>
      <w:r>
        <w:t xml:space="preserve">), </w:t>
      </w:r>
      <w:proofErr w:type="spellStart"/>
      <w:r>
        <w:t>penambat</w:t>
      </w:r>
      <w:proofErr w:type="spellEnd"/>
      <w:r>
        <w:t xml:space="preserve"> (</w:t>
      </w:r>
      <w:r>
        <w:rPr>
          <w:i/>
          <w:iCs/>
        </w:rPr>
        <w:t>fastening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bantalan</w:t>
      </w:r>
      <w:proofErr w:type="spellEnd"/>
      <w:r>
        <w:t xml:space="preserve"> (</w:t>
      </w:r>
      <w:r>
        <w:rPr>
          <w:i/>
          <w:iCs/>
        </w:rPr>
        <w:t>sleeper</w:t>
      </w:r>
      <w:r>
        <w:t>).</w:t>
      </w:r>
    </w:p>
    <w:p w:rsidR="00D64B20" w:rsidRDefault="00D64B20" w:rsidP="00D64B20">
      <w:pPr>
        <w:numPr>
          <w:ilvl w:val="0"/>
          <w:numId w:val="2"/>
        </w:numPr>
        <w:spacing w:line="360" w:lineRule="auto"/>
        <w:ind w:left="0"/>
        <w:jc w:val="both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komponen-komponennya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balas</w:t>
      </w:r>
      <w:proofErr w:type="spellEnd"/>
      <w:r>
        <w:t xml:space="preserve"> (</w:t>
      </w:r>
      <w:r>
        <w:rPr>
          <w:i/>
          <w:iCs/>
        </w:rPr>
        <w:t>ballast</w:t>
      </w:r>
      <w:r>
        <w:t>)</w:t>
      </w:r>
      <w:proofErr w:type="gramStart"/>
      <w:r>
        <w:t xml:space="preserve">,  </w:t>
      </w:r>
      <w:proofErr w:type="spellStart"/>
      <w:r>
        <w:t>subbalas</w:t>
      </w:r>
      <w:proofErr w:type="spellEnd"/>
      <w:proofErr w:type="gramEnd"/>
      <w:r>
        <w:t xml:space="preserve"> (</w:t>
      </w:r>
      <w:proofErr w:type="spellStart"/>
      <w:r>
        <w:rPr>
          <w:i/>
          <w:iCs/>
        </w:rPr>
        <w:t>subballast</w:t>
      </w:r>
      <w:proofErr w:type="spellEnd"/>
      <w:r>
        <w:t xml:space="preserve">),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</w:t>
      </w:r>
      <w:r>
        <w:rPr>
          <w:i/>
          <w:iCs/>
        </w:rPr>
        <w:t>subgrade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(</w:t>
      </w:r>
      <w:r>
        <w:rPr>
          <w:i/>
          <w:iCs/>
        </w:rPr>
        <w:t xml:space="preserve">natural </w:t>
      </w:r>
      <w:proofErr w:type="spellStart"/>
      <w:r>
        <w:rPr>
          <w:i/>
          <w:iCs/>
        </w:rPr>
        <w:t>graund</w:t>
      </w:r>
      <w:proofErr w:type="spellEnd"/>
      <w:r>
        <w:t>).</w:t>
      </w:r>
    </w:p>
    <w:p w:rsidR="00D64B20" w:rsidRDefault="00D64B20" w:rsidP="00D64B20">
      <w:pPr>
        <w:spacing w:line="360" w:lineRule="auto"/>
        <w:jc w:val="both"/>
      </w:pPr>
      <w:r>
        <w:t xml:space="preserve"> </w:t>
      </w:r>
    </w:p>
    <w:p w:rsidR="00D64B20" w:rsidRDefault="00D64B20" w:rsidP="00D64B20">
      <w:pPr>
        <w:spacing w:line="360" w:lineRule="auto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64B20" w:rsidRDefault="00D64B20" w:rsidP="00D64B20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899660" cy="4356100"/>
            <wp:effectExtent l="0" t="0" r="0" b="6350"/>
            <wp:docPr id="2" name="Picture 2" descr="C:\Users\USER\AppData\Local\Temp\ksohtml15940\wps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5940\wps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64B20" w:rsidRDefault="00D64B20" w:rsidP="00D64B20">
      <w:pPr>
        <w:spacing w:line="360" w:lineRule="auto"/>
        <w:jc w:val="center"/>
      </w:pPr>
      <w:proofErr w:type="spellStart"/>
      <w:proofErr w:type="gramStart"/>
      <w:r>
        <w:t>Gambar</w:t>
      </w:r>
      <w:proofErr w:type="spellEnd"/>
      <w:r>
        <w:t xml:space="preserve"> 2.1.</w:t>
      </w:r>
      <w:proofErr w:type="gram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</w:p>
    <w:p w:rsidR="00D64B20" w:rsidRDefault="00D64B20" w:rsidP="00D64B20">
      <w:pPr>
        <w:numPr>
          <w:ilvl w:val="1"/>
          <w:numId w:val="1"/>
        </w:numPr>
        <w:spacing w:line="360" w:lineRule="auto"/>
        <w:ind w:left="0"/>
        <w:jc w:val="both"/>
        <w:rPr>
          <w:b/>
          <w:bCs/>
        </w:rPr>
      </w:pPr>
      <w:proofErr w:type="spellStart"/>
      <w:r>
        <w:rPr>
          <w:b/>
          <w:bCs/>
        </w:rPr>
        <w:t>Beban-Beban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Bekerja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Struktur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</w:t>
      </w:r>
      <w:proofErr w:type="spellEnd"/>
    </w:p>
    <w:p w:rsidR="00D64B20" w:rsidRDefault="00D64B20" w:rsidP="00D64B20">
      <w:pPr>
        <w:spacing w:line="360" w:lineRule="auto"/>
        <w:jc w:val="both"/>
      </w:pPr>
      <w:proofErr w:type="spellStart"/>
      <w:proofErr w:type="gramStart"/>
      <w:r>
        <w:t>Persyaratan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beban-beban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gandar</w:t>
      </w:r>
      <w:proofErr w:type="spellEnd"/>
      <w:r>
        <w:t xml:space="preserve">, </w:t>
      </w:r>
      <w:proofErr w:type="spellStart"/>
      <w:r>
        <w:t>tonase</w:t>
      </w:r>
      <w:proofErr w:type="spellEnd"/>
      <w:r>
        <w:t xml:space="preserve"> yang </w:t>
      </w:r>
      <w:proofErr w:type="spellStart"/>
      <w:r>
        <w:t>dipikul</w:t>
      </w:r>
      <w:proofErr w:type="spellEnd"/>
      <w:r>
        <w:t xml:space="preserve">,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statis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gandar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gandar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Tekanan</w:t>
      </w:r>
      <w:proofErr w:type="spellEnd"/>
      <w:r>
        <w:t xml:space="preserve"> </w:t>
      </w:r>
      <w:proofErr w:type="spellStart"/>
      <w:r>
        <w:t>gandar</w:t>
      </w:r>
      <w:proofErr w:type="spellEnd"/>
      <w:r>
        <w:t xml:space="preserve"> </w:t>
      </w:r>
      <w:proofErr w:type="spellStart"/>
      <w:r>
        <w:t>statis</w:t>
      </w:r>
      <w:proofErr w:type="spellEnd"/>
      <w:r>
        <w:t xml:space="preserve"> yang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prinsipnya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rel.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tonase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diperlukannya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>.</w:t>
      </w:r>
      <w:proofErr w:type="gramEnd"/>
    </w:p>
    <w:p w:rsidR="00D64B20" w:rsidRDefault="00D64B20" w:rsidP="00D64B20">
      <w:pPr>
        <w:numPr>
          <w:ilvl w:val="0"/>
          <w:numId w:val="3"/>
        </w:numPr>
        <w:spacing w:line="360" w:lineRule="auto"/>
        <w:ind w:left="0"/>
        <w:jc w:val="both"/>
        <w:rPr>
          <w:b/>
          <w:bCs/>
        </w:rPr>
      </w:pPr>
      <w:proofErr w:type="spellStart"/>
      <w:r>
        <w:rPr>
          <w:b/>
          <w:bCs/>
        </w:rPr>
        <w:t>Tekanan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Gandar</w:t>
      </w:r>
      <w:proofErr w:type="spellEnd"/>
    </w:p>
    <w:p w:rsidR="00D64B20" w:rsidRDefault="00D64B20" w:rsidP="00D64B20">
      <w:pPr>
        <w:spacing w:line="360" w:lineRule="auto"/>
        <w:jc w:val="both"/>
      </w:pPr>
      <w:proofErr w:type="spellStart"/>
      <w:r>
        <w:t>Tekanan</w:t>
      </w:r>
      <w:proofErr w:type="spellEnd"/>
      <w:r>
        <w:t xml:space="preserve"> </w:t>
      </w:r>
      <w:proofErr w:type="spellStart"/>
      <w:r>
        <w:t>gandar</w:t>
      </w:r>
      <w:proofErr w:type="spellEnd"/>
      <w:r>
        <w:t xml:space="preserve"> nominal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280"/>
        <w:gridCol w:w="2280"/>
      </w:tblGrid>
      <w:tr w:rsidR="00D64B20" w:rsidTr="00D64B2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20" w:rsidRDefault="00D64B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Kategori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20" w:rsidRDefault="00D64B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Tekanan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Gandar</w:t>
            </w:r>
            <w:proofErr w:type="spellEnd"/>
          </w:p>
          <w:p w:rsidR="00D64B20" w:rsidRDefault="00D64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kN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20" w:rsidRDefault="00D64B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Berat</w:t>
            </w:r>
            <w:proofErr w:type="spellEnd"/>
            <w:r>
              <w:rPr>
                <w:b/>
                <w:bCs/>
              </w:rPr>
              <w:t>/Meter</w:t>
            </w:r>
          </w:p>
          <w:p w:rsidR="00D64B20" w:rsidRDefault="00D64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kN</w:t>
            </w:r>
            <w:proofErr w:type="spellEnd"/>
            <w:r>
              <w:rPr>
                <w:b/>
                <w:bCs/>
              </w:rPr>
              <w:t>/m)</w:t>
            </w:r>
          </w:p>
        </w:tc>
      </w:tr>
      <w:tr w:rsidR="00D64B20" w:rsidTr="00D64B20">
        <w:tc>
          <w:tcPr>
            <w:tcW w:w="12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20" w:rsidRDefault="00D64B20">
            <w:pPr>
              <w:spacing w:line="360" w:lineRule="auto"/>
              <w:jc w:val="center"/>
            </w:pPr>
            <w:r>
              <w:t>A</w:t>
            </w:r>
          </w:p>
          <w:p w:rsidR="00D64B20" w:rsidRDefault="00D64B20">
            <w:pPr>
              <w:spacing w:line="360" w:lineRule="auto"/>
              <w:jc w:val="center"/>
            </w:pPr>
            <w:r>
              <w:lastRenderedPageBreak/>
              <w:t>B1</w:t>
            </w:r>
          </w:p>
          <w:p w:rsidR="00D64B20" w:rsidRDefault="00D64B20">
            <w:pPr>
              <w:spacing w:line="360" w:lineRule="auto"/>
              <w:jc w:val="center"/>
            </w:pPr>
            <w:r>
              <w:t>B2</w:t>
            </w:r>
          </w:p>
          <w:p w:rsidR="00D64B20" w:rsidRDefault="00D64B20">
            <w:pPr>
              <w:spacing w:line="360" w:lineRule="auto"/>
              <w:jc w:val="center"/>
            </w:pPr>
            <w:r>
              <w:t>C2</w:t>
            </w:r>
          </w:p>
          <w:p w:rsidR="00D64B20" w:rsidRDefault="00D64B20">
            <w:pPr>
              <w:spacing w:line="360" w:lineRule="auto"/>
              <w:jc w:val="center"/>
            </w:pPr>
            <w:r>
              <w:t>C3</w:t>
            </w:r>
          </w:p>
          <w:p w:rsidR="00D64B20" w:rsidRDefault="00D64B20">
            <w:pPr>
              <w:spacing w:line="360" w:lineRule="auto"/>
              <w:jc w:val="center"/>
            </w:pPr>
            <w:r>
              <w:t>C4</w:t>
            </w:r>
          </w:p>
          <w:p w:rsidR="00D64B20" w:rsidRDefault="00D64B20">
            <w:pPr>
              <w:spacing w:line="360" w:lineRule="auto"/>
              <w:jc w:val="center"/>
            </w:pPr>
            <w:r>
              <w:t>D4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20" w:rsidRDefault="00D64B20">
            <w:pPr>
              <w:spacing w:line="360" w:lineRule="auto"/>
              <w:jc w:val="center"/>
            </w:pPr>
            <w:r>
              <w:lastRenderedPageBreak/>
              <w:t>160</w:t>
            </w:r>
          </w:p>
          <w:p w:rsidR="00D64B20" w:rsidRDefault="00D64B20">
            <w:pPr>
              <w:spacing w:line="360" w:lineRule="auto"/>
              <w:jc w:val="center"/>
            </w:pPr>
            <w:r>
              <w:lastRenderedPageBreak/>
              <w:t>180</w:t>
            </w:r>
          </w:p>
          <w:p w:rsidR="00D64B20" w:rsidRDefault="00D64B20">
            <w:pPr>
              <w:spacing w:line="360" w:lineRule="auto"/>
              <w:jc w:val="center"/>
            </w:pPr>
            <w:r>
              <w:t>180</w:t>
            </w:r>
          </w:p>
          <w:p w:rsidR="00D64B20" w:rsidRDefault="00D64B20">
            <w:pPr>
              <w:spacing w:line="360" w:lineRule="auto"/>
              <w:jc w:val="center"/>
            </w:pPr>
            <w:r>
              <w:t>200</w:t>
            </w:r>
          </w:p>
          <w:p w:rsidR="00D64B20" w:rsidRDefault="00D64B20">
            <w:pPr>
              <w:spacing w:line="360" w:lineRule="auto"/>
              <w:jc w:val="center"/>
            </w:pPr>
            <w:r>
              <w:t>200</w:t>
            </w:r>
          </w:p>
          <w:p w:rsidR="00D64B20" w:rsidRDefault="00D64B20">
            <w:pPr>
              <w:spacing w:line="360" w:lineRule="auto"/>
              <w:jc w:val="center"/>
            </w:pPr>
            <w:r>
              <w:t>200</w:t>
            </w:r>
          </w:p>
          <w:p w:rsidR="00D64B20" w:rsidRDefault="00D64B20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20" w:rsidRDefault="00D64B20">
            <w:pPr>
              <w:spacing w:line="360" w:lineRule="auto"/>
              <w:jc w:val="center"/>
            </w:pPr>
            <w:r>
              <w:lastRenderedPageBreak/>
              <w:t>48</w:t>
            </w:r>
          </w:p>
          <w:p w:rsidR="00D64B20" w:rsidRDefault="00D64B20">
            <w:pPr>
              <w:spacing w:line="360" w:lineRule="auto"/>
              <w:jc w:val="center"/>
            </w:pPr>
            <w:r>
              <w:lastRenderedPageBreak/>
              <w:t>50</w:t>
            </w:r>
          </w:p>
          <w:p w:rsidR="00D64B20" w:rsidRDefault="00D64B20">
            <w:pPr>
              <w:spacing w:line="360" w:lineRule="auto"/>
              <w:jc w:val="center"/>
            </w:pPr>
            <w:r>
              <w:t>64</w:t>
            </w:r>
          </w:p>
          <w:p w:rsidR="00D64B20" w:rsidRDefault="00D64B20">
            <w:pPr>
              <w:spacing w:line="360" w:lineRule="auto"/>
              <w:jc w:val="center"/>
            </w:pPr>
            <w:r>
              <w:t>64</w:t>
            </w:r>
          </w:p>
          <w:p w:rsidR="00D64B20" w:rsidRDefault="00D64B20">
            <w:pPr>
              <w:spacing w:line="360" w:lineRule="auto"/>
              <w:jc w:val="center"/>
            </w:pPr>
            <w:r>
              <w:t>72</w:t>
            </w:r>
          </w:p>
          <w:p w:rsidR="00D64B20" w:rsidRDefault="00D64B20">
            <w:pPr>
              <w:spacing w:line="360" w:lineRule="auto"/>
              <w:jc w:val="center"/>
            </w:pPr>
            <w:r>
              <w:t>80</w:t>
            </w:r>
          </w:p>
          <w:p w:rsidR="00D64B20" w:rsidRDefault="00D64B20">
            <w:pPr>
              <w:spacing w:line="360" w:lineRule="auto"/>
              <w:jc w:val="center"/>
            </w:pPr>
            <w:r>
              <w:t>80</w:t>
            </w:r>
          </w:p>
        </w:tc>
      </w:tr>
    </w:tbl>
    <w:p w:rsidR="00D64B20" w:rsidRDefault="00D64B20" w:rsidP="00D64B20">
      <w:pPr>
        <w:spacing w:line="360" w:lineRule="auto"/>
        <w:jc w:val="both"/>
      </w:pPr>
      <w:r>
        <w:lastRenderedPageBreak/>
        <w:t xml:space="preserve"> </w:t>
      </w:r>
    </w:p>
    <w:p w:rsidR="00D64B20" w:rsidRDefault="00D64B20" w:rsidP="00D64B20">
      <w:pPr>
        <w:spacing w:line="360" w:lineRule="auto"/>
        <w:jc w:val="both"/>
      </w:pPr>
      <w:proofErr w:type="spellStart"/>
      <w:r>
        <w:t>Tekanan</w:t>
      </w:r>
      <w:proofErr w:type="spellEnd"/>
      <w:r>
        <w:t xml:space="preserve"> </w:t>
      </w:r>
      <w:proofErr w:type="spellStart"/>
      <w:r>
        <w:t>gandar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Belanda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penumpang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120kN – 215kN,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Australia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205kN -350kN.</w:t>
      </w:r>
    </w:p>
    <w:p w:rsidR="00D64B20" w:rsidRDefault="00D64B20" w:rsidP="00D64B20">
      <w:pPr>
        <w:spacing w:line="360" w:lineRule="auto"/>
        <w:jc w:val="both"/>
      </w:pPr>
      <w:r>
        <w:t xml:space="preserve"> </w:t>
      </w:r>
    </w:p>
    <w:p w:rsidR="00D64B20" w:rsidRDefault="00D64B20" w:rsidP="00D64B20">
      <w:pPr>
        <w:numPr>
          <w:ilvl w:val="0"/>
          <w:numId w:val="3"/>
        </w:numPr>
        <w:spacing w:line="360" w:lineRule="auto"/>
        <w:ind w:left="0"/>
        <w:jc w:val="both"/>
        <w:rPr>
          <w:b/>
          <w:bCs/>
        </w:rPr>
      </w:pPr>
      <w:proofErr w:type="spellStart"/>
      <w:r>
        <w:rPr>
          <w:b/>
          <w:bCs/>
        </w:rPr>
        <w:t>Tonase</w:t>
      </w:r>
      <w:proofErr w:type="spellEnd"/>
    </w:p>
    <w:p w:rsidR="00D64B20" w:rsidRDefault="00D64B20" w:rsidP="00D64B20">
      <w:pPr>
        <w:spacing w:line="360" w:lineRule="auto"/>
        <w:jc w:val="both"/>
      </w:pPr>
      <w:proofErr w:type="spellStart"/>
      <w:r>
        <w:t>Tonase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kepadatan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,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keretakan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keausan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tonase</w:t>
      </w:r>
      <w:proofErr w:type="spellEnd"/>
      <w:r>
        <w:t xml:space="preserve">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MGT = million gross </w:t>
      </w:r>
      <w:proofErr w:type="spellStart"/>
      <w:r>
        <w:t>tonne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Tg</w:t>
      </w:r>
      <w:proofErr w:type="spellEnd"/>
      <w:proofErr w:type="gramEnd"/>
      <w:r>
        <w:t xml:space="preserve"> = </w:t>
      </w:r>
      <w:proofErr w:type="spellStart"/>
      <w:r>
        <w:t>tera</w:t>
      </w:r>
      <w:proofErr w:type="spellEnd"/>
      <w:r>
        <w:t xml:space="preserve"> gram (1MGT= 1Tg).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tonase</w:t>
      </w:r>
      <w:proofErr w:type="spellEnd"/>
      <w:r>
        <w:t xml:space="preserve"> </w:t>
      </w:r>
      <w:proofErr w:type="spellStart"/>
      <w:r>
        <w:t>ekivalaen</w:t>
      </w:r>
      <w:proofErr w:type="spellEnd"/>
      <w:r>
        <w:t>.</w:t>
      </w:r>
      <w:proofErr w:type="gramEnd"/>
    </w:p>
    <w:p w:rsidR="00D64B20" w:rsidRDefault="00D64B20" w:rsidP="00D64B20">
      <w:pPr>
        <w:spacing w:line="360" w:lineRule="auto"/>
        <w:jc w:val="both"/>
      </w:pPr>
      <w:r>
        <w:t xml:space="preserve"> </w:t>
      </w:r>
    </w:p>
    <w:p w:rsidR="00D64B20" w:rsidRDefault="00D64B20" w:rsidP="00D64B20">
      <w:pPr>
        <w:spacing w:line="360" w:lineRule="auto"/>
        <w:jc w:val="both"/>
      </w:pPr>
      <w:r>
        <w:t xml:space="preserve">              </w:t>
      </w:r>
      <w:r>
        <w:rPr>
          <w:noProof/>
        </w:rPr>
        <w:drawing>
          <wp:inline distT="0" distB="0" distL="0" distR="0">
            <wp:extent cx="1388745" cy="396875"/>
            <wp:effectExtent l="0" t="0" r="1905" b="3175"/>
            <wp:docPr id="1" name="Picture 1" descr="C:\Users\USER\AppData\Local\Temp\ksohtml15940\wps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15940\wps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(</w:t>
      </w:r>
      <w:proofErr w:type="gramStart"/>
      <w:r>
        <w:t>ton</w:t>
      </w:r>
      <w:proofErr w:type="gramEnd"/>
      <w:r>
        <w:t>)</w:t>
      </w:r>
    </w:p>
    <w:p w:rsidR="00D64B20" w:rsidRDefault="00D64B20" w:rsidP="00D64B20">
      <w:pPr>
        <w:spacing w:line="360" w:lineRule="auto"/>
        <w:jc w:val="both"/>
      </w:pPr>
      <w:r>
        <w:t xml:space="preserve"> </w:t>
      </w:r>
    </w:p>
    <w:p w:rsidR="00D64B20" w:rsidRDefault="00D64B20" w:rsidP="00D64B20">
      <w:pPr>
        <w:spacing w:line="360" w:lineRule="auto"/>
        <w:jc w:val="both"/>
      </w:pPr>
      <w:r>
        <w:t xml:space="preserve"> </w:t>
      </w:r>
    </w:p>
    <w:p w:rsidR="00D64B20" w:rsidRDefault="00D64B20" w:rsidP="00D64B20">
      <w:pPr>
        <w:spacing w:line="360" w:lineRule="auto"/>
        <w:jc w:val="both"/>
      </w:pPr>
      <w:r>
        <w:t xml:space="preserve"> </w:t>
      </w:r>
    </w:p>
    <w:p w:rsidR="00D64B20" w:rsidRDefault="00D64B20" w:rsidP="00D64B20">
      <w:pPr>
        <w:spacing w:line="360" w:lineRule="auto"/>
        <w:jc w:val="both"/>
      </w:pPr>
      <w:proofErr w:type="spellStart"/>
      <w:r>
        <w:t>Dimana</w:t>
      </w:r>
      <w:proofErr w:type="spellEnd"/>
      <w:r>
        <w:t>:</w:t>
      </w:r>
    </w:p>
    <w:p w:rsidR="00D64B20" w:rsidRDefault="00D64B20" w:rsidP="00D64B20">
      <w:pPr>
        <w:spacing w:line="360" w:lineRule="auto"/>
        <w:jc w:val="both"/>
      </w:pPr>
      <w:proofErr w:type="spellStart"/>
      <w:proofErr w:type="gramStart"/>
      <w:r>
        <w:t>Tp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tonase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KA </w:t>
      </w:r>
      <w:proofErr w:type="spellStart"/>
      <w:r>
        <w:t>penumpang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D64B20" w:rsidRDefault="00D64B20" w:rsidP="00D64B20">
      <w:pPr>
        <w:spacing w:line="360" w:lineRule="auto"/>
        <w:jc w:val="both"/>
      </w:pPr>
      <w:proofErr w:type="spellStart"/>
      <w:proofErr w:type="gramStart"/>
      <w:r>
        <w:t>Tg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tonase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KA </w:t>
      </w:r>
      <w:proofErr w:type="spellStart"/>
      <w:r>
        <w:t>barang</w:t>
      </w:r>
      <w:proofErr w:type="spellEnd"/>
    </w:p>
    <w:p w:rsidR="00D64B20" w:rsidRDefault="00D64B20" w:rsidP="00D64B20">
      <w:pPr>
        <w:spacing w:line="360" w:lineRule="auto"/>
        <w:jc w:val="both"/>
      </w:pPr>
      <w:proofErr w:type="gramStart"/>
      <w:r>
        <w:t>V :</w:t>
      </w:r>
      <w:proofErr w:type="gram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diijinkan</w:t>
      </w:r>
      <w:proofErr w:type="spellEnd"/>
      <w:r>
        <w:t xml:space="preserve"> (km/jam)</w:t>
      </w:r>
    </w:p>
    <w:p w:rsidR="00D64B20" w:rsidRDefault="00D64B20" w:rsidP="00D64B20">
      <w:pPr>
        <w:spacing w:line="360" w:lineRule="auto"/>
        <w:jc w:val="both"/>
      </w:pPr>
      <w:proofErr w:type="gramStart"/>
      <w:r>
        <w:t>D :</w:t>
      </w:r>
      <w:proofErr w:type="gramEnd"/>
      <w:r>
        <w:t xml:space="preserve"> diameter</w:t>
      </w:r>
    </w:p>
    <w:p w:rsidR="00D64B20" w:rsidRDefault="00D64B20" w:rsidP="00D64B20">
      <w:pPr>
        <w:spacing w:line="360" w:lineRule="auto"/>
        <w:jc w:val="both"/>
      </w:pPr>
      <w:proofErr w:type="gramStart"/>
      <w:r>
        <w:t>Pc :</w:t>
      </w:r>
      <w:proofErr w:type="gram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gandar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berdiameter</w:t>
      </w:r>
      <w:proofErr w:type="spellEnd"/>
      <w:r>
        <w:t xml:space="preserve"> D (ton)</w:t>
      </w:r>
    </w:p>
    <w:p w:rsidR="00D64B20" w:rsidRDefault="00D64B20" w:rsidP="00D64B20">
      <w:pPr>
        <w:spacing w:line="360" w:lineRule="auto"/>
        <w:jc w:val="both"/>
      </w:pPr>
      <w:r>
        <w:t xml:space="preserve"> </w:t>
      </w:r>
    </w:p>
    <w:p w:rsidR="00D64B20" w:rsidRDefault="00D64B20" w:rsidP="00D64B20">
      <w:pPr>
        <w:spacing w:line="360" w:lineRule="auto"/>
        <w:jc w:val="both"/>
      </w:pPr>
      <w:r>
        <w:lastRenderedPageBreak/>
        <w:t>Ada 4 (</w:t>
      </w:r>
      <w:proofErr w:type="spellStart"/>
      <w:r>
        <w:t>empat</w:t>
      </w:r>
      <w:proofErr w:type="spellEnd"/>
      <w:r>
        <w:t xml:space="preserve">) </w:t>
      </w:r>
      <w:proofErr w:type="spellStart"/>
      <w:r>
        <w:t>pengelompakan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tonase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tonase</w:t>
      </w:r>
      <w:proofErr w:type="spellEnd"/>
      <w:r>
        <w:t xml:space="preserve"> </w:t>
      </w:r>
      <w:proofErr w:type="spellStart"/>
      <w:r>
        <w:t>ekivalen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D64B20" w:rsidRDefault="00D64B20" w:rsidP="00D64B20">
      <w:pPr>
        <w:spacing w:line="360" w:lineRule="auto"/>
        <w:jc w:val="both"/>
      </w:pPr>
      <w:proofErr w:type="spellStart"/>
      <w:r>
        <w:t>Kelas</w:t>
      </w:r>
      <w:proofErr w:type="spellEnd"/>
      <w:r>
        <w:t xml:space="preserve"> 1</w:t>
      </w:r>
      <w:r>
        <w:tab/>
        <w:t xml:space="preserve">40.000 &lt; </w:t>
      </w:r>
      <w:proofErr w:type="spellStart"/>
      <w:r>
        <w:t>T</w:t>
      </w:r>
      <w:r>
        <w:rPr>
          <w:i/>
          <w:iCs/>
        </w:rPr>
        <w:t>f</w:t>
      </w:r>
      <w:proofErr w:type="spellEnd"/>
    </w:p>
    <w:p w:rsidR="00D64B20" w:rsidRDefault="00D64B20" w:rsidP="00D64B20">
      <w:pPr>
        <w:spacing w:line="360" w:lineRule="auto"/>
        <w:jc w:val="both"/>
      </w:pPr>
      <w:proofErr w:type="spellStart"/>
      <w:r>
        <w:t>Kelas</w:t>
      </w:r>
      <w:proofErr w:type="spellEnd"/>
      <w:r>
        <w:t xml:space="preserve"> 2</w:t>
      </w:r>
      <w:r>
        <w:tab/>
        <w:t xml:space="preserve">20.000 &lt; </w:t>
      </w:r>
      <w:proofErr w:type="spellStart"/>
      <w:r>
        <w:t>T</w:t>
      </w:r>
      <w:r>
        <w:rPr>
          <w:i/>
          <w:iCs/>
        </w:rPr>
        <w:t>f</w:t>
      </w:r>
      <w:proofErr w:type="spellEnd"/>
      <w:r>
        <w:rPr>
          <w:i/>
          <w:iCs/>
        </w:rPr>
        <w:t xml:space="preserve"> </w:t>
      </w:r>
      <w:r>
        <w:t>&lt; 40.000</w:t>
      </w:r>
    </w:p>
    <w:p w:rsidR="00D64B20" w:rsidRDefault="00D64B20" w:rsidP="00D64B20">
      <w:pPr>
        <w:spacing w:line="360" w:lineRule="auto"/>
        <w:jc w:val="both"/>
      </w:pPr>
      <w:proofErr w:type="spellStart"/>
      <w:r>
        <w:t>Kelas</w:t>
      </w:r>
      <w:proofErr w:type="spellEnd"/>
      <w:r>
        <w:t xml:space="preserve"> 3</w:t>
      </w:r>
      <w:r>
        <w:tab/>
        <w:t xml:space="preserve">10.000 &lt; </w:t>
      </w:r>
      <w:proofErr w:type="spellStart"/>
      <w:r>
        <w:t>T</w:t>
      </w:r>
      <w:r>
        <w:rPr>
          <w:i/>
          <w:iCs/>
        </w:rPr>
        <w:t>f</w:t>
      </w:r>
      <w:proofErr w:type="spellEnd"/>
      <w:r>
        <w:rPr>
          <w:i/>
          <w:iCs/>
        </w:rPr>
        <w:t xml:space="preserve"> </w:t>
      </w:r>
      <w:r>
        <w:t>&lt; 20.000</w:t>
      </w:r>
    </w:p>
    <w:p w:rsidR="00D64B20" w:rsidRDefault="00D64B20" w:rsidP="00D64B20">
      <w:pPr>
        <w:spacing w:line="360" w:lineRule="auto"/>
        <w:jc w:val="both"/>
      </w:pPr>
      <w:proofErr w:type="spellStart"/>
      <w:r>
        <w:t>Kelas</w:t>
      </w:r>
      <w:proofErr w:type="spellEnd"/>
      <w:r>
        <w:t xml:space="preserve"> 4</w:t>
      </w:r>
      <w:r>
        <w:tab/>
      </w:r>
      <w:r>
        <w:tab/>
        <w:t xml:space="preserve">   </w:t>
      </w:r>
      <w:proofErr w:type="spellStart"/>
      <w:r>
        <w:t>T</w:t>
      </w:r>
      <w:r>
        <w:rPr>
          <w:i/>
          <w:iCs/>
        </w:rPr>
        <w:t>f</w:t>
      </w:r>
      <w:proofErr w:type="spellEnd"/>
      <w:r>
        <w:t xml:space="preserve"> &lt; 10.000</w:t>
      </w:r>
    </w:p>
    <w:p w:rsidR="00D64B20" w:rsidRDefault="00D64B20">
      <w:bookmarkStart w:id="0" w:name="_GoBack"/>
      <w:bookmarkEnd w:id="0"/>
    </w:p>
    <w:p w:rsidR="00D64B20" w:rsidRDefault="00D64B20"/>
    <w:sectPr w:rsidR="00D64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918"/>
    <w:multiLevelType w:val="multilevel"/>
    <w:tmpl w:val="91609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B216605"/>
    <w:multiLevelType w:val="multilevel"/>
    <w:tmpl w:val="43A69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5E007AF"/>
    <w:multiLevelType w:val="multilevel"/>
    <w:tmpl w:val="E800F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0"/>
    <w:rsid w:val="00461476"/>
    <w:rsid w:val="00D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2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D6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2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D6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2316</Characters>
  <Application>Microsoft Office Word</Application>
  <DocSecurity>0</DocSecurity>
  <Lines>19</Lines>
  <Paragraphs>5</Paragraphs>
  <ScaleCrop>false</ScaleCrop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2020-10-27T09:39:00Z</dcterms:created>
  <dcterms:modified xsi:type="dcterms:W3CDTF">2020-10-27T09:40:00Z</dcterms:modified>
</cp:coreProperties>
</file>