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6A" w:rsidRPr="005D3963" w:rsidRDefault="005D3963" w:rsidP="00A6296A">
      <w:pPr>
        <w:pStyle w:val="IEEETitle"/>
        <w:rPr>
          <w:b/>
          <w:sz w:val="24"/>
          <w:lang w:val="id-ID"/>
        </w:rPr>
      </w:pPr>
      <w:r>
        <w:rPr>
          <w:b/>
          <w:sz w:val="24"/>
          <w:lang w:val="id-ID"/>
        </w:rPr>
        <w:t>EVALUASI TATAKELOLA TEKNOLO</w:t>
      </w:r>
      <w:r w:rsidR="007113E8">
        <w:rPr>
          <w:b/>
          <w:sz w:val="24"/>
          <w:lang w:val="id-ID"/>
        </w:rPr>
        <w:t>GI INFORMASI RUMAH</w:t>
      </w:r>
      <w:r w:rsidR="00591C33">
        <w:rPr>
          <w:b/>
          <w:sz w:val="24"/>
          <w:lang w:val="id-ID"/>
        </w:rPr>
        <w:t xml:space="preserve"> SAKIT PEMERINTAH</w:t>
      </w:r>
    </w:p>
    <w:p w:rsidR="00A6296A" w:rsidRPr="00316E58" w:rsidRDefault="00A6296A" w:rsidP="00A6296A">
      <w:pPr>
        <w:pStyle w:val="IEEEAuthorName"/>
        <w:spacing w:before="0" w:after="0"/>
        <w:rPr>
          <w:b/>
          <w:szCs w:val="22"/>
          <w:lang w:val="en-US"/>
        </w:rPr>
      </w:pPr>
    </w:p>
    <w:p w:rsidR="00A6296A" w:rsidRPr="00397815" w:rsidRDefault="005D3963" w:rsidP="00A6296A">
      <w:pPr>
        <w:pStyle w:val="IEEEAuthorName"/>
        <w:spacing w:before="0" w:after="0"/>
        <w:rPr>
          <w:b/>
          <w:sz w:val="20"/>
          <w:szCs w:val="20"/>
          <w:lang w:val="en-US"/>
        </w:rPr>
      </w:pPr>
      <w:r>
        <w:rPr>
          <w:b/>
          <w:sz w:val="20"/>
          <w:szCs w:val="20"/>
          <w:lang w:val="id-ID"/>
        </w:rPr>
        <w:t>Rasmila</w:t>
      </w:r>
      <w:r w:rsidR="00A6296A" w:rsidRPr="00397815">
        <w:rPr>
          <w:b/>
          <w:sz w:val="20"/>
          <w:szCs w:val="20"/>
          <w:vertAlign w:val="superscript"/>
          <w:lang w:val="en-US"/>
        </w:rPr>
        <w:t>1</w:t>
      </w:r>
      <w:r w:rsidR="00A6296A" w:rsidRPr="00397815">
        <w:rPr>
          <w:b/>
          <w:sz w:val="20"/>
          <w:szCs w:val="20"/>
          <w:lang w:val="en-US"/>
        </w:rPr>
        <w:t xml:space="preserve">, </w:t>
      </w:r>
      <w:r>
        <w:rPr>
          <w:b/>
          <w:sz w:val="20"/>
          <w:szCs w:val="20"/>
          <w:lang w:val="id-ID"/>
        </w:rPr>
        <w:t>Syahril Rizal</w:t>
      </w:r>
      <w:r w:rsidR="00A6296A" w:rsidRPr="00397815">
        <w:rPr>
          <w:b/>
          <w:sz w:val="20"/>
          <w:szCs w:val="20"/>
          <w:vertAlign w:val="superscript"/>
          <w:lang w:val="en-US"/>
        </w:rPr>
        <w:t>2</w:t>
      </w:r>
    </w:p>
    <w:p w:rsidR="00A6296A" w:rsidRPr="005D3963" w:rsidRDefault="00A6296A" w:rsidP="00A6296A">
      <w:pPr>
        <w:jc w:val="center"/>
        <w:rPr>
          <w:rStyle w:val="Hyperlink"/>
          <w:i/>
          <w:color w:val="000000" w:themeColor="text1"/>
          <w:sz w:val="18"/>
          <w:szCs w:val="18"/>
          <w:u w:val="none"/>
          <w:lang w:val="id-ID" w:bidi="ar-BH"/>
        </w:rPr>
      </w:pPr>
      <w:r w:rsidRPr="00397815">
        <w:rPr>
          <w:rStyle w:val="Hyperlink"/>
          <w:i/>
          <w:color w:val="000000" w:themeColor="text1"/>
          <w:sz w:val="18"/>
          <w:szCs w:val="18"/>
          <w:u w:val="none"/>
          <w:vertAlign w:val="superscript"/>
          <w:lang w:val="en-US" w:bidi="ar-BH"/>
        </w:rPr>
        <w:t>1</w:t>
      </w:r>
      <w:r w:rsidR="005D3963">
        <w:rPr>
          <w:rStyle w:val="Hyperlink"/>
          <w:i/>
          <w:color w:val="000000" w:themeColor="text1"/>
          <w:sz w:val="18"/>
          <w:szCs w:val="18"/>
          <w:u w:val="none"/>
          <w:lang w:val="id-ID" w:bidi="ar-BH"/>
        </w:rPr>
        <w:t>Universitas Bina Darma</w:t>
      </w:r>
    </w:p>
    <w:p w:rsidR="00A6296A" w:rsidRPr="005D3963" w:rsidRDefault="005D3963" w:rsidP="00A6296A">
      <w:pPr>
        <w:jc w:val="center"/>
        <w:rPr>
          <w:rStyle w:val="Hyperlink"/>
          <w:i/>
          <w:color w:val="000000" w:themeColor="text1"/>
          <w:sz w:val="18"/>
          <w:szCs w:val="18"/>
          <w:u w:val="none"/>
          <w:lang w:val="id-ID" w:bidi="ar-BH"/>
        </w:rPr>
      </w:pPr>
      <w:r>
        <w:rPr>
          <w:rStyle w:val="Hyperlink"/>
          <w:i/>
          <w:color w:val="000000" w:themeColor="text1"/>
          <w:sz w:val="18"/>
          <w:szCs w:val="18"/>
          <w:u w:val="none"/>
          <w:lang w:val="id-ID" w:bidi="ar-BH"/>
        </w:rPr>
        <w:t>Jalan Jend. A. Yani no. 2 Palembang</w:t>
      </w:r>
    </w:p>
    <w:p w:rsidR="00A6296A" w:rsidRDefault="00C56454" w:rsidP="00A6296A">
      <w:pPr>
        <w:jc w:val="center"/>
        <w:rPr>
          <w:rStyle w:val="Hyperlink"/>
          <w:color w:val="000000" w:themeColor="text1"/>
          <w:sz w:val="18"/>
          <w:szCs w:val="18"/>
          <w:u w:val="none"/>
          <w:lang w:val="en-US" w:bidi="ar-BH"/>
        </w:rPr>
      </w:pPr>
      <w:hyperlink r:id="rId7" w:history="1">
        <w:r w:rsidR="005D3963" w:rsidRPr="00AE469B">
          <w:rPr>
            <w:rStyle w:val="Hyperlink"/>
            <w:sz w:val="18"/>
            <w:szCs w:val="18"/>
            <w:vertAlign w:val="superscript"/>
            <w:lang w:val="en-US" w:bidi="ar-BH"/>
          </w:rPr>
          <w:t>1</w:t>
        </w:r>
        <w:r w:rsidR="005D3963" w:rsidRPr="00AE469B">
          <w:rPr>
            <w:rStyle w:val="Hyperlink"/>
            <w:sz w:val="18"/>
            <w:szCs w:val="18"/>
            <w:lang w:val="id-ID" w:bidi="ar-BH"/>
          </w:rPr>
          <w:t>rasmila</w:t>
        </w:r>
        <w:r w:rsidR="005D3963" w:rsidRPr="00AE469B">
          <w:rPr>
            <w:rStyle w:val="Hyperlink"/>
            <w:sz w:val="18"/>
            <w:szCs w:val="18"/>
            <w:lang w:val="en-US" w:bidi="ar-BH"/>
          </w:rPr>
          <w:t>@</w:t>
        </w:r>
        <w:r w:rsidR="005D3963" w:rsidRPr="00AE469B">
          <w:rPr>
            <w:rStyle w:val="Hyperlink"/>
            <w:sz w:val="18"/>
            <w:szCs w:val="18"/>
            <w:lang w:val="id-ID" w:bidi="ar-BH"/>
          </w:rPr>
          <w:t>binadarma.ac.id</w:t>
        </w:r>
      </w:hyperlink>
    </w:p>
    <w:p w:rsidR="00A6296A" w:rsidRDefault="00A6296A" w:rsidP="009547FB">
      <w:pPr>
        <w:rPr>
          <w:rStyle w:val="Hyperlink"/>
          <w:color w:val="000000" w:themeColor="text1"/>
          <w:sz w:val="22"/>
          <w:szCs w:val="22"/>
          <w:u w:val="none"/>
          <w:lang w:val="en-US" w:bidi="ar-BH"/>
        </w:rPr>
      </w:pPr>
    </w:p>
    <w:p w:rsidR="00A6296A" w:rsidRPr="005D3963" w:rsidRDefault="00A6296A" w:rsidP="00A6296A">
      <w:pPr>
        <w:jc w:val="center"/>
        <w:rPr>
          <w:rStyle w:val="Hyperlink"/>
          <w:i/>
          <w:color w:val="000000" w:themeColor="text1"/>
          <w:sz w:val="18"/>
          <w:szCs w:val="18"/>
          <w:u w:val="none"/>
          <w:lang w:val="id-ID" w:bidi="ar-BH"/>
        </w:rPr>
      </w:pPr>
      <w:r w:rsidRPr="00397815">
        <w:rPr>
          <w:rStyle w:val="Hyperlink"/>
          <w:i/>
          <w:color w:val="000000" w:themeColor="text1"/>
          <w:sz w:val="18"/>
          <w:szCs w:val="18"/>
          <w:u w:val="none"/>
          <w:vertAlign w:val="superscript"/>
          <w:lang w:val="en-US" w:bidi="ar-BH"/>
        </w:rPr>
        <w:t>2</w:t>
      </w:r>
      <w:r w:rsidR="005D3963">
        <w:rPr>
          <w:rStyle w:val="Hyperlink"/>
          <w:i/>
          <w:color w:val="000000" w:themeColor="text1"/>
          <w:sz w:val="18"/>
          <w:szCs w:val="18"/>
          <w:u w:val="none"/>
          <w:lang w:val="id-ID" w:bidi="ar-BH"/>
        </w:rPr>
        <w:t>Universitas Bina Darma</w:t>
      </w:r>
    </w:p>
    <w:p w:rsidR="00A6296A" w:rsidRPr="005D3963" w:rsidRDefault="005D3963" w:rsidP="00A6296A">
      <w:pPr>
        <w:jc w:val="center"/>
        <w:rPr>
          <w:rStyle w:val="Hyperlink"/>
          <w:i/>
          <w:color w:val="000000" w:themeColor="text1"/>
          <w:sz w:val="18"/>
          <w:szCs w:val="18"/>
          <w:u w:val="none"/>
          <w:lang w:val="id-ID" w:bidi="ar-BH"/>
        </w:rPr>
      </w:pPr>
      <w:r>
        <w:rPr>
          <w:rStyle w:val="Hyperlink"/>
          <w:i/>
          <w:color w:val="000000" w:themeColor="text1"/>
          <w:sz w:val="18"/>
          <w:szCs w:val="18"/>
          <w:u w:val="none"/>
          <w:lang w:val="id-ID" w:bidi="ar-BH"/>
        </w:rPr>
        <w:t>Jalan Jend. A. Yani no.2 Palembang</w:t>
      </w:r>
    </w:p>
    <w:p w:rsidR="00A6296A" w:rsidRDefault="00C56454" w:rsidP="00A6296A">
      <w:pPr>
        <w:jc w:val="center"/>
        <w:rPr>
          <w:rStyle w:val="Hyperlink"/>
          <w:color w:val="000000" w:themeColor="text1"/>
          <w:sz w:val="18"/>
          <w:szCs w:val="18"/>
          <w:u w:val="none"/>
          <w:lang w:val="en-US" w:bidi="ar-BH"/>
        </w:rPr>
      </w:pPr>
      <w:hyperlink r:id="rId8" w:history="1">
        <w:r w:rsidR="005D3963" w:rsidRPr="00AE469B">
          <w:rPr>
            <w:rStyle w:val="Hyperlink"/>
            <w:sz w:val="18"/>
            <w:szCs w:val="18"/>
            <w:vertAlign w:val="superscript"/>
            <w:lang w:val="en-US" w:bidi="ar-BH"/>
          </w:rPr>
          <w:t>2</w:t>
        </w:r>
        <w:r w:rsidR="005D3963" w:rsidRPr="00AE469B">
          <w:rPr>
            <w:rStyle w:val="Hyperlink"/>
            <w:sz w:val="18"/>
            <w:szCs w:val="18"/>
            <w:lang w:val="id-ID" w:bidi="ar-BH"/>
          </w:rPr>
          <w:t>syahril.rizal@binadarma.ac.id</w:t>
        </w:r>
      </w:hyperlink>
    </w:p>
    <w:p w:rsidR="00A6296A" w:rsidRPr="009547FB" w:rsidRDefault="00A6296A" w:rsidP="00A6296A">
      <w:pPr>
        <w:rPr>
          <w:sz w:val="22"/>
          <w:szCs w:val="22"/>
          <w:lang w:val="en-ID"/>
        </w:rPr>
      </w:pPr>
    </w:p>
    <w:p w:rsidR="00A6296A" w:rsidRPr="00316E58" w:rsidRDefault="00A6296A" w:rsidP="00A6296A">
      <w:pPr>
        <w:jc w:val="center"/>
        <w:rPr>
          <w:b/>
          <w:sz w:val="22"/>
          <w:szCs w:val="22"/>
          <w:lang w:val="en-US"/>
        </w:rPr>
      </w:pPr>
      <w:r w:rsidRPr="00316E58">
        <w:rPr>
          <w:b/>
          <w:sz w:val="22"/>
          <w:szCs w:val="22"/>
          <w:lang w:val="en-US"/>
        </w:rPr>
        <w:t>ABSTRAK</w:t>
      </w:r>
    </w:p>
    <w:p w:rsidR="00326AB2" w:rsidRPr="00286667" w:rsidRDefault="00326AB2" w:rsidP="00326AB2">
      <w:pPr>
        <w:jc w:val="both"/>
        <w:rPr>
          <w:lang w:val="id-ID"/>
        </w:rPr>
      </w:pPr>
      <w:r w:rsidRPr="00326AB2">
        <w:rPr>
          <w:sz w:val="20"/>
        </w:rPr>
        <w:t xml:space="preserve">Evaluasi tata kelola teknologi informasi khususnya komputer (IT Governance) di rumah sakit </w:t>
      </w:r>
      <w:r w:rsidRPr="00326AB2">
        <w:rPr>
          <w:sz w:val="20"/>
          <w:lang w:val="id-ID"/>
        </w:rPr>
        <w:t xml:space="preserve">pemerintah </w:t>
      </w:r>
      <w:r w:rsidR="007113E8">
        <w:rPr>
          <w:sz w:val="20"/>
        </w:rPr>
        <w:t>sangat di</w:t>
      </w:r>
      <w:r w:rsidRPr="00326AB2">
        <w:rPr>
          <w:sz w:val="20"/>
        </w:rPr>
        <w:t>butuhkan, agar pengeemban</w:t>
      </w:r>
      <w:r w:rsidR="007113E8">
        <w:rPr>
          <w:sz w:val="20"/>
        </w:rPr>
        <w:t xml:space="preserve">gan </w:t>
      </w:r>
      <w:r w:rsidR="007113E8">
        <w:rPr>
          <w:sz w:val="20"/>
          <w:lang w:val="id-ID"/>
        </w:rPr>
        <w:t>Teknologi Informasi dan Komunikasi (</w:t>
      </w:r>
      <w:r w:rsidR="007113E8">
        <w:rPr>
          <w:sz w:val="20"/>
        </w:rPr>
        <w:t>TIK</w:t>
      </w:r>
      <w:r w:rsidR="007113E8">
        <w:rPr>
          <w:sz w:val="20"/>
          <w:lang w:val="id-ID"/>
        </w:rPr>
        <w:t>)</w:t>
      </w:r>
      <w:r w:rsidR="007113E8">
        <w:rPr>
          <w:sz w:val="20"/>
        </w:rPr>
        <w:t xml:space="preserve"> di </w:t>
      </w:r>
      <w:r w:rsidR="007113E8">
        <w:rPr>
          <w:sz w:val="20"/>
          <w:lang w:val="id-ID"/>
        </w:rPr>
        <w:t>r</w:t>
      </w:r>
      <w:r w:rsidRPr="00326AB2">
        <w:rPr>
          <w:sz w:val="20"/>
        </w:rPr>
        <w:t xml:space="preserve">umah sakit saat ini bisa berkembang mengikuti era globalisasi yang sekarang kemajuan nya sangat pesat. </w:t>
      </w:r>
      <w:r w:rsidR="007113E8">
        <w:rPr>
          <w:sz w:val="20"/>
          <w:lang w:val="id-ID"/>
        </w:rPr>
        <w:t xml:space="preserve">Penggunaan </w:t>
      </w:r>
      <w:r w:rsidRPr="00326AB2">
        <w:rPr>
          <w:sz w:val="20"/>
        </w:rPr>
        <w:t xml:space="preserve">TIK di rumah sakit sangat dibutuhkan untuk melayani </w:t>
      </w:r>
      <w:r w:rsidR="007113E8">
        <w:rPr>
          <w:sz w:val="20"/>
          <w:lang w:val="id-ID"/>
        </w:rPr>
        <w:t>pasien dan pengunjung</w:t>
      </w:r>
      <w:r w:rsidRPr="00326AB2">
        <w:rPr>
          <w:sz w:val="20"/>
        </w:rPr>
        <w:t xml:space="preserve"> dengan </w:t>
      </w:r>
      <w:r w:rsidR="007113E8">
        <w:rPr>
          <w:sz w:val="20"/>
          <w:lang w:val="id-ID"/>
        </w:rPr>
        <w:t>baik agar</w:t>
      </w:r>
      <w:r w:rsidRPr="00326AB2">
        <w:rPr>
          <w:sz w:val="20"/>
        </w:rPr>
        <w:t xml:space="preserve"> mempermudah dalam bekerja</w:t>
      </w:r>
      <w:r w:rsidR="007113E8">
        <w:rPr>
          <w:sz w:val="20"/>
        </w:rPr>
        <w:t xml:space="preserve">. </w:t>
      </w:r>
      <w:r w:rsidR="007113E8">
        <w:rPr>
          <w:sz w:val="20"/>
          <w:lang w:val="id-ID"/>
        </w:rPr>
        <w:t>Rumah sakit</w:t>
      </w:r>
      <w:r w:rsidR="007113E8">
        <w:rPr>
          <w:sz w:val="20"/>
        </w:rPr>
        <w:t xml:space="preserve"> </w:t>
      </w:r>
      <w:r w:rsidR="007113E8">
        <w:rPr>
          <w:sz w:val="20"/>
          <w:lang w:val="id-ID"/>
        </w:rPr>
        <w:t>K</w:t>
      </w:r>
      <w:r w:rsidR="007113E8">
        <w:rPr>
          <w:sz w:val="20"/>
        </w:rPr>
        <w:t xml:space="preserve">usta Dr </w:t>
      </w:r>
      <w:r w:rsidR="007113E8">
        <w:rPr>
          <w:sz w:val="20"/>
          <w:lang w:val="id-ID"/>
        </w:rPr>
        <w:t>R</w:t>
      </w:r>
      <w:r w:rsidRPr="00326AB2">
        <w:rPr>
          <w:sz w:val="20"/>
        </w:rPr>
        <w:t xml:space="preserve">ivai Abdullah Palembang saat ini telah menerapkan </w:t>
      </w:r>
      <w:r w:rsidR="007113E8">
        <w:rPr>
          <w:sz w:val="20"/>
          <w:lang w:val="id-ID"/>
        </w:rPr>
        <w:t>TIK terutama dalam kegiatan administrasi dan penyebaran informasi kepada masyarakat</w:t>
      </w:r>
      <w:r w:rsidR="007113E8">
        <w:rPr>
          <w:sz w:val="20"/>
        </w:rPr>
        <w:t xml:space="preserve">. Berdasarkan </w:t>
      </w:r>
      <w:r w:rsidRPr="00326AB2">
        <w:rPr>
          <w:sz w:val="20"/>
        </w:rPr>
        <w:t>proses evaluasi yang telah dilakukan maka dapat dinyatakan bahwa</w:t>
      </w:r>
      <w:r w:rsidRPr="00326AB2">
        <w:rPr>
          <w:sz w:val="20"/>
          <w:lang w:val="id-ID"/>
        </w:rPr>
        <w:t xml:space="preserve"> tingkat kematangan tatakelola saat ini sebesar</w:t>
      </w:r>
      <w:r w:rsidRPr="00326AB2">
        <w:rPr>
          <w:sz w:val="20"/>
        </w:rPr>
        <w:t xml:space="preserve"> </w:t>
      </w:r>
      <w:r w:rsidRPr="00326AB2">
        <w:rPr>
          <w:sz w:val="20"/>
          <w:lang w:val="id-ID"/>
        </w:rPr>
        <w:t>2,14</w:t>
      </w:r>
      <w:r w:rsidRPr="00326AB2">
        <w:rPr>
          <w:sz w:val="20"/>
        </w:rPr>
        <w:t xml:space="preserve"> yang artinya bahwa sudah </w:t>
      </w:r>
      <w:r w:rsidRPr="00326AB2">
        <w:rPr>
          <w:sz w:val="20"/>
          <w:lang w:val="id-ID"/>
        </w:rPr>
        <w:t>ada per</w:t>
      </w:r>
      <w:r w:rsidRPr="00326AB2">
        <w:rPr>
          <w:sz w:val="20"/>
        </w:rPr>
        <w:t xml:space="preserve">canaan dan penerapan tata kelola Teknologi Informasi komputer saat ini </w:t>
      </w:r>
      <w:r w:rsidRPr="00326AB2">
        <w:rPr>
          <w:sz w:val="20"/>
          <w:lang w:val="id-ID"/>
        </w:rPr>
        <w:t>tetapi belum menyeluruh. Sementara untuk tingkat kematangan yang diharapkan adalah sebesar 3,69 yang berarti sudah terprediksi untuk semua aktifitas tatakelola TIK</w:t>
      </w:r>
      <w:r w:rsidRPr="00326AB2">
        <w:rPr>
          <w:sz w:val="20"/>
        </w:rPr>
        <w:t>.</w:t>
      </w:r>
      <w:r w:rsidRPr="00326AB2">
        <w:rPr>
          <w:sz w:val="20"/>
          <w:lang w:val="id-ID"/>
        </w:rPr>
        <w:t xml:space="preserve"> Dengan nilai kesenjangan sebesar 1,55 maka dibutuhkan usaha yang cukup besar untuk dapat mencapai harapan.</w:t>
      </w:r>
    </w:p>
    <w:p w:rsidR="00A6296A" w:rsidRPr="003C7348" w:rsidRDefault="00A6296A" w:rsidP="00A6296A">
      <w:pPr>
        <w:jc w:val="both"/>
        <w:rPr>
          <w:sz w:val="20"/>
          <w:szCs w:val="20"/>
          <w:lang w:val="en-US"/>
        </w:rPr>
      </w:pPr>
    </w:p>
    <w:p w:rsidR="00A6296A" w:rsidRPr="003C7348" w:rsidRDefault="00A6296A" w:rsidP="00A6296A">
      <w:pPr>
        <w:rPr>
          <w:sz w:val="20"/>
          <w:szCs w:val="20"/>
          <w:lang w:val="id-ID"/>
        </w:rPr>
      </w:pPr>
    </w:p>
    <w:p w:rsidR="00A6296A" w:rsidRPr="003C7348" w:rsidRDefault="00A6296A" w:rsidP="00A6296A">
      <w:pPr>
        <w:rPr>
          <w:i/>
          <w:sz w:val="20"/>
          <w:szCs w:val="20"/>
          <w:lang w:val="en-US"/>
        </w:rPr>
      </w:pPr>
      <w:r w:rsidRPr="003C7348">
        <w:rPr>
          <w:sz w:val="20"/>
          <w:szCs w:val="20"/>
          <w:lang w:val="id-ID"/>
        </w:rPr>
        <w:t xml:space="preserve">Kata kunci: </w:t>
      </w:r>
      <w:r w:rsidR="00326AB2">
        <w:rPr>
          <w:sz w:val="20"/>
          <w:szCs w:val="20"/>
          <w:lang w:val="id-ID"/>
        </w:rPr>
        <w:t xml:space="preserve">evaluasi, </w:t>
      </w:r>
      <w:r w:rsidR="00326AB2">
        <w:rPr>
          <w:i/>
          <w:sz w:val="20"/>
          <w:szCs w:val="20"/>
          <w:lang w:val="id-ID"/>
        </w:rPr>
        <w:t>tatakelola</w:t>
      </w:r>
      <w:r w:rsidRPr="003C7348">
        <w:rPr>
          <w:i/>
          <w:sz w:val="20"/>
          <w:szCs w:val="20"/>
          <w:lang w:val="en-US"/>
        </w:rPr>
        <w:t xml:space="preserve">, </w:t>
      </w:r>
      <w:r w:rsidR="00326AB2">
        <w:rPr>
          <w:i/>
          <w:sz w:val="20"/>
          <w:szCs w:val="20"/>
          <w:lang w:val="id-ID"/>
        </w:rPr>
        <w:t>COBIT</w:t>
      </w:r>
    </w:p>
    <w:p w:rsidR="00A6296A" w:rsidRPr="00316E58" w:rsidRDefault="00A6296A" w:rsidP="00A6296A">
      <w:pPr>
        <w:rPr>
          <w:sz w:val="22"/>
          <w:szCs w:val="22"/>
          <w:lang w:val="en-US"/>
        </w:rPr>
      </w:pPr>
    </w:p>
    <w:p w:rsidR="00A6296A" w:rsidRPr="00CE7563" w:rsidRDefault="00A6296A" w:rsidP="00F173F9">
      <w:pPr>
        <w:pStyle w:val="IEEEHeading1"/>
        <w:numPr>
          <w:ilvl w:val="0"/>
          <w:numId w:val="0"/>
        </w:numPr>
        <w:spacing w:before="0" w:after="0"/>
        <w:ind w:left="289" w:hanging="289"/>
        <w:jc w:val="left"/>
        <w:rPr>
          <w:b/>
          <w:smallCaps w:val="0"/>
          <w:szCs w:val="20"/>
          <w:lang w:val="en-US"/>
        </w:rPr>
      </w:pPr>
      <w:r w:rsidRPr="00CE7563">
        <w:rPr>
          <w:b/>
          <w:smallCaps w:val="0"/>
          <w:szCs w:val="20"/>
          <w:lang w:val="en-US"/>
        </w:rPr>
        <w:t>I.</w:t>
      </w:r>
      <w:r w:rsidRPr="00CE7563">
        <w:rPr>
          <w:b/>
          <w:smallCaps w:val="0"/>
          <w:szCs w:val="20"/>
          <w:lang w:val="id-ID"/>
        </w:rPr>
        <w:t xml:space="preserve"> P</w:t>
      </w:r>
      <w:r w:rsidRPr="00CE7563">
        <w:rPr>
          <w:b/>
          <w:smallCaps w:val="0"/>
          <w:szCs w:val="20"/>
          <w:lang w:val="en-US"/>
        </w:rPr>
        <w:t>ENDAHULUAN</w:t>
      </w:r>
    </w:p>
    <w:p w:rsidR="00B25D6D" w:rsidRDefault="00B25D6D" w:rsidP="00A6296A">
      <w:pPr>
        <w:ind w:firstLine="284"/>
        <w:jc w:val="both"/>
        <w:rPr>
          <w:sz w:val="20"/>
          <w:szCs w:val="20"/>
          <w:lang w:val="id-ID"/>
        </w:rPr>
      </w:pPr>
    </w:p>
    <w:p w:rsidR="00B25D6D" w:rsidRPr="00B25D6D" w:rsidRDefault="00B25D6D" w:rsidP="00B25D6D">
      <w:pPr>
        <w:pStyle w:val="ListParagraph"/>
        <w:ind w:left="0" w:firstLine="720"/>
        <w:jc w:val="both"/>
        <w:rPr>
          <w:b/>
          <w:sz w:val="22"/>
          <w:szCs w:val="28"/>
        </w:rPr>
      </w:pPr>
      <w:r w:rsidRPr="00B25D6D">
        <w:rPr>
          <w:sz w:val="20"/>
          <w:lang w:val="id-ID"/>
        </w:rPr>
        <w:t>Sekarang</w:t>
      </w:r>
      <w:r w:rsidRPr="00B25D6D">
        <w:rPr>
          <w:sz w:val="20"/>
        </w:rPr>
        <w:t xml:space="preserve"> ini penggunaan dan fungsi teknologi informasi sudah menjadi bagian penting dan dibutuhkan di hampir semua sektor bisnis. Hal ini berlaku juga untuk perusahaan, organisai dan jasa khususnya di sektor pemerintahan. Untuk menjaga agar teknologi informasi menjadi </w:t>
      </w:r>
      <w:r w:rsidRPr="00B25D6D">
        <w:rPr>
          <w:sz w:val="20"/>
          <w:lang w:val="id-ID"/>
        </w:rPr>
        <w:t>bert</w:t>
      </w:r>
      <w:r w:rsidRPr="00B25D6D">
        <w:rPr>
          <w:sz w:val="20"/>
        </w:rPr>
        <w:t>ambah nilai dalam sebuah perusahaan maka perlu adanya tata kelola teknologi informasi agar semua faktor dan dimensi yang berhubungan dengan penggunaan teknologi informasi menjadi bersinergi dan bisa memberikan nilai tambah serta pengembalian investasi yang diharapkan bagi perusahaan. Kenyamanan dan peningkatan pelayanan bagi para karyawan</w:t>
      </w:r>
      <w:r w:rsidRPr="00B25D6D">
        <w:rPr>
          <w:sz w:val="20"/>
          <w:lang w:val="id-ID"/>
        </w:rPr>
        <w:t xml:space="preserve"> </w:t>
      </w:r>
      <w:r w:rsidRPr="00B25D6D">
        <w:rPr>
          <w:sz w:val="20"/>
        </w:rPr>
        <w:t>/</w:t>
      </w:r>
      <w:r w:rsidRPr="00B25D6D">
        <w:rPr>
          <w:sz w:val="20"/>
          <w:lang w:val="id-ID"/>
        </w:rPr>
        <w:t xml:space="preserve"> </w:t>
      </w:r>
      <w:r w:rsidRPr="00B25D6D">
        <w:rPr>
          <w:sz w:val="20"/>
        </w:rPr>
        <w:t>staf dan aparatur  di lingkungan perusahaan dan pemerintah</w:t>
      </w:r>
      <w:r w:rsidRPr="00B25D6D">
        <w:rPr>
          <w:sz w:val="20"/>
          <w:lang w:val="id-ID"/>
        </w:rPr>
        <w:t>,</w:t>
      </w:r>
      <w:r w:rsidRPr="00B25D6D">
        <w:rPr>
          <w:sz w:val="20"/>
        </w:rPr>
        <w:t xml:space="preserve"> dapat terus ditingkatkan dengan penerapan teknologi informasi yang tepat sasaran. </w:t>
      </w:r>
    </w:p>
    <w:p w:rsidR="00B25D6D" w:rsidRPr="00B25D6D" w:rsidRDefault="00B25D6D" w:rsidP="00B25D6D">
      <w:pPr>
        <w:pStyle w:val="ListParagraph"/>
        <w:ind w:left="0" w:firstLine="720"/>
        <w:jc w:val="both"/>
        <w:rPr>
          <w:sz w:val="20"/>
          <w:lang w:val="id-ID"/>
        </w:rPr>
      </w:pPr>
      <w:r w:rsidRPr="00B25D6D">
        <w:rPr>
          <w:sz w:val="20"/>
        </w:rPr>
        <w:t>Berkaitan dengan pelayanan masyarakat khususnya rumah sakit, dalam menyongsong era</w:t>
      </w:r>
      <w:r w:rsidRPr="00B25D6D">
        <w:rPr>
          <w:sz w:val="20"/>
          <w:lang w:val="id-ID"/>
        </w:rPr>
        <w:t xml:space="preserve"> </w:t>
      </w:r>
      <w:r w:rsidRPr="00B25D6D">
        <w:rPr>
          <w:sz w:val="20"/>
        </w:rPr>
        <w:t>globalisasi, pemerintah harus mempersiapkan seluruh pekerjanya untuk meningkatkan kualitas pelayanan  dalam melayani masyarakat. Kemampuan pekerjanya melayani dalam merupakan syarat mutlak untuk menjaga citra instansinya. Oleh sebab itu perlu dijaga agar jangan sampai terjadi hal-hal yang bisa menyinggung perasaan masyarakat yang dilayaninya.</w:t>
      </w:r>
    </w:p>
    <w:p w:rsidR="00B25D6D" w:rsidRPr="00B25D6D" w:rsidRDefault="00B25D6D" w:rsidP="00B25D6D">
      <w:pPr>
        <w:pStyle w:val="ListParagraph"/>
        <w:ind w:left="0" w:firstLine="720"/>
        <w:jc w:val="both"/>
        <w:rPr>
          <w:sz w:val="20"/>
        </w:rPr>
      </w:pPr>
      <w:r w:rsidRPr="00B25D6D">
        <w:rPr>
          <w:sz w:val="20"/>
        </w:rPr>
        <w:t>Setiap orang menginginkan jasa pelayanan yang diterima dan yang dirasakan sesuai dengan harapannya. Secara umum masyarakat menginginkan pelayanan yang sama dari aparatur pemerintah, sebab warga negara yang mempunyai kedudukan yang sama didalam hukum berhak mendapatkan pelayanan yang sama. Pelayanan yang bersahabat dan profesional sudah menjadi suatu syarat yang harus dipenuhi oleh para penyelenggara pekerjaan</w:t>
      </w:r>
      <w:r w:rsidR="00A8586C">
        <w:rPr>
          <w:sz w:val="20"/>
        </w:rPr>
        <w:t xml:space="preserve"> administrasi negara (Waworuntu</w:t>
      </w:r>
      <w:r w:rsidR="00A8586C">
        <w:rPr>
          <w:sz w:val="20"/>
          <w:lang w:val="id-ID"/>
        </w:rPr>
        <w:t>, 1997:18</w:t>
      </w:r>
      <w:r w:rsidRPr="00B25D6D">
        <w:rPr>
          <w:sz w:val="20"/>
        </w:rPr>
        <w:t>)</w:t>
      </w:r>
    </w:p>
    <w:p w:rsidR="00B25D6D" w:rsidRPr="00B25D6D" w:rsidRDefault="00B25D6D" w:rsidP="00B25D6D">
      <w:pPr>
        <w:pStyle w:val="ListParagraph"/>
        <w:ind w:left="0" w:firstLine="720"/>
        <w:jc w:val="both"/>
        <w:rPr>
          <w:sz w:val="20"/>
        </w:rPr>
      </w:pPr>
      <w:r w:rsidRPr="00B25D6D">
        <w:rPr>
          <w:i/>
          <w:sz w:val="20"/>
          <w:lang w:val="id-ID"/>
        </w:rPr>
        <w:t>IT Governence</w:t>
      </w:r>
      <w:r w:rsidRPr="00B25D6D">
        <w:rPr>
          <w:sz w:val="20"/>
          <w:lang w:val="id-ID"/>
        </w:rPr>
        <w:t xml:space="preserve"> merupakan konsep yang berkembang dari sektor swasta, namun dengan berkembangnya penggunaan Teknologi Informasi (TI) oleh organisasi pemerintahan maka </w:t>
      </w:r>
      <w:r w:rsidRPr="00B25D6D">
        <w:rPr>
          <w:i/>
          <w:sz w:val="20"/>
          <w:lang w:val="id-ID"/>
        </w:rPr>
        <w:t>IT Governence</w:t>
      </w:r>
      <w:r w:rsidRPr="00B25D6D">
        <w:rPr>
          <w:sz w:val="20"/>
          <w:lang w:val="id-ID"/>
        </w:rPr>
        <w:t xml:space="preserve"> juga harus diterapkan di sektor ini. Peranan </w:t>
      </w:r>
      <w:r w:rsidRPr="00B25D6D">
        <w:rPr>
          <w:i/>
          <w:sz w:val="20"/>
          <w:lang w:val="id-ID"/>
        </w:rPr>
        <w:t>IT Governence</w:t>
      </w:r>
      <w:r w:rsidRPr="00B25D6D">
        <w:rPr>
          <w:sz w:val="20"/>
          <w:lang w:val="id-ID"/>
        </w:rPr>
        <w:t xml:space="preserve"> tidaklah diragukan lagi dalam pencapaian tujuan suatu organisasi yang mengadopsi TI salah satunya adalah institusi perguruan tinggi. </w:t>
      </w:r>
      <w:r w:rsidRPr="00B25D6D">
        <w:rPr>
          <w:i/>
          <w:sz w:val="20"/>
          <w:lang w:val="id-ID"/>
        </w:rPr>
        <w:t>IT Governence</w:t>
      </w:r>
      <w:r w:rsidRPr="00B25D6D">
        <w:rPr>
          <w:sz w:val="20"/>
          <w:lang w:val="id-ID"/>
        </w:rPr>
        <w:t xml:space="preserve"> pada intinya adalah kegiatan memanajemen penggunaan TI agar menghasilkan </w:t>
      </w:r>
      <w:r w:rsidRPr="00B25D6D">
        <w:rPr>
          <w:sz w:val="20"/>
        </w:rPr>
        <w:t>keluaran</w:t>
      </w:r>
      <w:r w:rsidRPr="00B25D6D">
        <w:rPr>
          <w:sz w:val="20"/>
          <w:lang w:val="id-ID"/>
        </w:rPr>
        <w:t xml:space="preserve"> yang maksimal dalam organisasi, membantu proses pengambilan keputusan dan membantu proses pemecahan masalah. (Adikara, 2013: 2)</w:t>
      </w:r>
    </w:p>
    <w:p w:rsidR="00B25D6D" w:rsidRPr="00B25D6D" w:rsidRDefault="007113E8" w:rsidP="00B25D6D">
      <w:pPr>
        <w:pStyle w:val="ListParagraph"/>
        <w:ind w:left="0" w:firstLine="720"/>
        <w:jc w:val="both"/>
        <w:rPr>
          <w:sz w:val="20"/>
          <w:lang w:val="id-ID"/>
        </w:rPr>
      </w:pPr>
      <w:r>
        <w:rPr>
          <w:sz w:val="20"/>
          <w:lang w:val="id-ID"/>
        </w:rPr>
        <w:t>Evaluasi tatakelola</w:t>
      </w:r>
      <w:r w:rsidR="00B25D6D" w:rsidRPr="00B25D6D">
        <w:rPr>
          <w:sz w:val="20"/>
        </w:rPr>
        <w:t xml:space="preserve"> teknologi i</w:t>
      </w:r>
      <w:r>
        <w:rPr>
          <w:sz w:val="20"/>
        </w:rPr>
        <w:t xml:space="preserve">nformasi komputer (TIK)  di RS </w:t>
      </w:r>
      <w:r>
        <w:rPr>
          <w:sz w:val="20"/>
          <w:lang w:val="id-ID"/>
        </w:rPr>
        <w:t>K</w:t>
      </w:r>
      <w:r w:rsidR="00B25D6D" w:rsidRPr="00B25D6D">
        <w:rPr>
          <w:sz w:val="20"/>
        </w:rPr>
        <w:t>usta Dr.Rivai Abdulla</w:t>
      </w:r>
      <w:r w:rsidR="00B25D6D" w:rsidRPr="00B25D6D">
        <w:rPr>
          <w:sz w:val="20"/>
          <w:lang w:val="id-ID"/>
        </w:rPr>
        <w:t xml:space="preserve">h </w:t>
      </w:r>
      <w:r>
        <w:rPr>
          <w:sz w:val="20"/>
          <w:lang w:val="id-ID"/>
        </w:rPr>
        <w:t xml:space="preserve">(RSKRA) </w:t>
      </w:r>
      <w:r w:rsidR="00B25D6D" w:rsidRPr="00B25D6D">
        <w:rPr>
          <w:sz w:val="20"/>
          <w:lang w:val="id-ID"/>
        </w:rPr>
        <w:t>Palembang</w:t>
      </w:r>
      <w:r w:rsidR="00B25D6D" w:rsidRPr="00B25D6D">
        <w:rPr>
          <w:sz w:val="20"/>
        </w:rPr>
        <w:t xml:space="preserve"> dilakukan </w:t>
      </w:r>
      <w:r>
        <w:rPr>
          <w:sz w:val="20"/>
          <w:lang w:val="id-ID"/>
        </w:rPr>
        <w:t xml:space="preserve">untuk mengetahui tingkat kematangan tatakelola saat ini dan harapan dari para penggunanya. Selain itu juga akan dapat diketahui </w:t>
      </w:r>
      <w:r w:rsidR="00B25D6D" w:rsidRPr="00B25D6D">
        <w:rPr>
          <w:i/>
          <w:sz w:val="20"/>
          <w:lang w:val="id-ID"/>
        </w:rPr>
        <w:t>gap</w:t>
      </w:r>
      <w:r w:rsidR="00B25D6D" w:rsidRPr="00B25D6D">
        <w:rPr>
          <w:sz w:val="20"/>
          <w:lang w:val="id-ID"/>
        </w:rPr>
        <w:t xml:space="preserve"> (kesenjangan) </w:t>
      </w:r>
      <w:r>
        <w:rPr>
          <w:sz w:val="20"/>
          <w:lang w:val="id-ID"/>
        </w:rPr>
        <w:t>tatakelola tersebut untuk dilakukan sejumlah pembenahan dalam tatakelola TIK</w:t>
      </w:r>
      <w:r w:rsidR="00B25D6D" w:rsidRPr="00B25D6D">
        <w:rPr>
          <w:sz w:val="20"/>
          <w:lang w:val="id-ID"/>
        </w:rPr>
        <w:t>.</w:t>
      </w:r>
    </w:p>
    <w:p w:rsidR="00B25D6D" w:rsidRPr="00B25D6D" w:rsidRDefault="00B25D6D" w:rsidP="00B25D6D">
      <w:pPr>
        <w:pStyle w:val="ListParagraph"/>
        <w:ind w:left="0" w:firstLine="720"/>
        <w:jc w:val="both"/>
        <w:rPr>
          <w:sz w:val="20"/>
          <w:lang w:val="id-ID"/>
        </w:rPr>
      </w:pPr>
      <w:r w:rsidRPr="00B25D6D">
        <w:rPr>
          <w:sz w:val="20"/>
          <w:lang w:val="id-ID"/>
        </w:rPr>
        <w:lastRenderedPageBreak/>
        <w:t>Seperti halnya yang dilakukan waw</w:t>
      </w:r>
      <w:r w:rsidRPr="00B25D6D">
        <w:rPr>
          <w:sz w:val="20"/>
        </w:rPr>
        <w:t>a</w:t>
      </w:r>
      <w:r w:rsidRPr="00B25D6D">
        <w:rPr>
          <w:sz w:val="20"/>
          <w:lang w:val="id-ID"/>
        </w:rPr>
        <w:t xml:space="preserve">ncara awal </w:t>
      </w:r>
      <w:r w:rsidR="007113E8">
        <w:rPr>
          <w:sz w:val="20"/>
          <w:lang w:val="id-ID"/>
        </w:rPr>
        <w:t>dengan kepala staf Instalasi IT, TIK di RSKRA</w:t>
      </w:r>
      <w:r w:rsidRPr="00B25D6D">
        <w:rPr>
          <w:sz w:val="20"/>
          <w:lang w:val="id-ID"/>
        </w:rPr>
        <w:t xml:space="preserve"> saat ini</w:t>
      </w:r>
      <w:r w:rsidR="007113E8">
        <w:rPr>
          <w:sz w:val="20"/>
          <w:lang w:val="id-ID"/>
        </w:rPr>
        <w:t xml:space="preserve"> hanya berupa manajemen sed</w:t>
      </w:r>
      <w:r w:rsidRPr="00B25D6D">
        <w:rPr>
          <w:sz w:val="20"/>
          <w:lang w:val="id-ID"/>
        </w:rPr>
        <w:t xml:space="preserve">erhana </w:t>
      </w:r>
      <w:r w:rsidR="000111EF">
        <w:rPr>
          <w:sz w:val="20"/>
          <w:lang w:val="id-ID"/>
        </w:rPr>
        <w:t>untuk mengelola sejumlah</w:t>
      </w:r>
      <w:r w:rsidRPr="00B25D6D">
        <w:rPr>
          <w:sz w:val="20"/>
          <w:lang w:val="id-ID"/>
        </w:rPr>
        <w:t xml:space="preserve"> PC, printer dan alat komputer lainnya.. Keluhan yang sering didapat adalah </w:t>
      </w:r>
      <w:r w:rsidR="000111EF">
        <w:rPr>
          <w:sz w:val="20"/>
          <w:lang w:val="id-ID"/>
        </w:rPr>
        <w:t>kerusakan pada hardware yang di</w:t>
      </w:r>
      <w:r w:rsidRPr="00B25D6D">
        <w:rPr>
          <w:sz w:val="20"/>
          <w:lang w:val="id-ID"/>
        </w:rPr>
        <w:t>sebabkan gangguan arus listrik yang tidak normal, yang menyebabkan ruginya rs karna kerusakan pada haedware itu sendiri dan</w:t>
      </w:r>
      <w:r w:rsidRPr="00B25D6D">
        <w:rPr>
          <w:sz w:val="20"/>
        </w:rPr>
        <w:t xml:space="preserve"> juga</w:t>
      </w:r>
      <w:r w:rsidRPr="00B25D6D">
        <w:rPr>
          <w:sz w:val="20"/>
          <w:lang w:val="id-ID"/>
        </w:rPr>
        <w:t xml:space="preserve"> seringnya terkena virus menyebakan terganggunya kinerja TIK itu sendi</w:t>
      </w:r>
      <w:r w:rsidRPr="00B25D6D">
        <w:rPr>
          <w:sz w:val="20"/>
        </w:rPr>
        <w:t>r</w:t>
      </w:r>
      <w:r w:rsidRPr="00B25D6D">
        <w:rPr>
          <w:sz w:val="20"/>
          <w:lang w:val="id-ID"/>
        </w:rPr>
        <w:t xml:space="preserve">i.  </w:t>
      </w:r>
    </w:p>
    <w:p w:rsidR="00B25D6D" w:rsidRPr="000111EF" w:rsidRDefault="00B25D6D" w:rsidP="00B25D6D">
      <w:pPr>
        <w:ind w:firstLine="720"/>
        <w:jc w:val="both"/>
        <w:rPr>
          <w:sz w:val="20"/>
          <w:lang w:val="id-ID"/>
        </w:rPr>
      </w:pPr>
      <w:r w:rsidRPr="00B25D6D">
        <w:rPr>
          <w:i/>
          <w:sz w:val="20"/>
        </w:rPr>
        <w:t xml:space="preserve"> COBIT</w:t>
      </w:r>
      <w:r w:rsidRPr="00B25D6D">
        <w:rPr>
          <w:sz w:val="20"/>
        </w:rPr>
        <w:t xml:space="preserve"> merupakan kerangka kerja yang menyediakan standar dalam kerangka domain yang </w:t>
      </w:r>
      <w:r w:rsidRPr="00B25D6D">
        <w:rPr>
          <w:sz w:val="20"/>
          <w:lang w:val="id-ID"/>
        </w:rPr>
        <w:t>memuat</w:t>
      </w:r>
      <w:r w:rsidRPr="00B25D6D">
        <w:rPr>
          <w:sz w:val="20"/>
        </w:rPr>
        <w:t xml:space="preserve"> sekumpulan proses TI yang merepresentasikan aktivitas yang dapat dikendalikan dan terstruktur. (Sarno, 2009: 17).</w:t>
      </w:r>
      <w:r w:rsidRPr="00B25D6D">
        <w:rPr>
          <w:b/>
          <w:sz w:val="20"/>
        </w:rPr>
        <w:t xml:space="preserve"> </w:t>
      </w:r>
      <w:r w:rsidRPr="00B25D6D">
        <w:rPr>
          <w:sz w:val="20"/>
        </w:rPr>
        <w:t>Dengan mengaudit</w:t>
      </w:r>
      <w:r w:rsidRPr="00B25D6D">
        <w:rPr>
          <w:b/>
          <w:sz w:val="20"/>
        </w:rPr>
        <w:t xml:space="preserve"> </w:t>
      </w:r>
      <w:r w:rsidRPr="00B25D6D">
        <w:rPr>
          <w:sz w:val="20"/>
        </w:rPr>
        <w:t xml:space="preserve">pada ruang lingkup area Tata Kelola </w:t>
      </w:r>
      <w:r w:rsidRPr="00B25D6D">
        <w:rPr>
          <w:i/>
          <w:sz w:val="20"/>
        </w:rPr>
        <w:t>(Governence</w:t>
      </w:r>
      <w:r w:rsidRPr="00B25D6D">
        <w:rPr>
          <w:sz w:val="20"/>
        </w:rPr>
        <w:t xml:space="preserve">) di </w:t>
      </w:r>
      <w:r w:rsidRPr="00B25D6D">
        <w:rPr>
          <w:i/>
          <w:sz w:val="20"/>
        </w:rPr>
        <w:t>domain Evaluate, Direct, and Monitoring</w:t>
      </w:r>
      <w:r w:rsidRPr="00B25D6D">
        <w:rPr>
          <w:sz w:val="20"/>
        </w:rPr>
        <w:t xml:space="preserve"> (EDM)</w:t>
      </w:r>
      <w:r w:rsidRPr="00B25D6D">
        <w:rPr>
          <w:sz w:val="20"/>
          <w:lang w:val="id-ID"/>
        </w:rPr>
        <w:t xml:space="preserve"> akan didapat</w:t>
      </w:r>
      <w:r w:rsidRPr="00B25D6D">
        <w:rPr>
          <w:sz w:val="20"/>
        </w:rPr>
        <w:t xml:space="preserve"> kondisi awal</w:t>
      </w:r>
      <w:r w:rsidRPr="00B25D6D">
        <w:rPr>
          <w:sz w:val="20"/>
          <w:lang w:val="id-ID"/>
        </w:rPr>
        <w:t>nya</w:t>
      </w:r>
      <w:r w:rsidRPr="00B25D6D">
        <w:rPr>
          <w:sz w:val="20"/>
        </w:rPr>
        <w:t xml:space="preserve">, untuk kemudian melakukan audit </w:t>
      </w:r>
      <w:r w:rsidRPr="00B25D6D">
        <w:rPr>
          <w:sz w:val="20"/>
          <w:lang w:val="id-ID"/>
        </w:rPr>
        <w:t>terhadap</w:t>
      </w:r>
      <w:r w:rsidRPr="00B25D6D">
        <w:rPr>
          <w:sz w:val="20"/>
        </w:rPr>
        <w:t xml:space="preserve"> langkah-langkah kerja yang diperlukan sesuai kerangka kerja </w:t>
      </w:r>
      <w:r w:rsidRPr="00B25D6D">
        <w:rPr>
          <w:i/>
          <w:sz w:val="20"/>
        </w:rPr>
        <w:t>COBIT</w:t>
      </w:r>
      <w:r w:rsidRPr="00B25D6D">
        <w:rPr>
          <w:sz w:val="20"/>
        </w:rPr>
        <w:t xml:space="preserve"> 5.0 agar dapat meningkatkan tata kelola </w:t>
      </w:r>
      <w:r w:rsidRPr="00B25D6D">
        <w:rPr>
          <w:sz w:val="20"/>
          <w:lang w:val="id-ID"/>
        </w:rPr>
        <w:t>TI</w:t>
      </w:r>
      <w:r w:rsidRPr="00B25D6D">
        <w:rPr>
          <w:sz w:val="20"/>
        </w:rPr>
        <w:t xml:space="preserve"> serta mendefinisikan rekomendasi yang bisa dilakukan selanjutnya oleh RS</w:t>
      </w:r>
      <w:r w:rsidR="000111EF">
        <w:rPr>
          <w:sz w:val="20"/>
          <w:lang w:val="id-ID"/>
        </w:rPr>
        <w:t>KRA</w:t>
      </w:r>
      <w:r w:rsidRPr="00B25D6D">
        <w:rPr>
          <w:sz w:val="20"/>
        </w:rPr>
        <w:t xml:space="preserve"> di masa yang akan </w:t>
      </w:r>
      <w:r w:rsidR="000111EF">
        <w:rPr>
          <w:sz w:val="20"/>
        </w:rPr>
        <w:t>dating</w:t>
      </w:r>
      <w:r w:rsidR="000111EF">
        <w:rPr>
          <w:sz w:val="20"/>
          <w:lang w:val="id-ID"/>
        </w:rPr>
        <w:t>.</w:t>
      </w:r>
    </w:p>
    <w:p w:rsidR="00A6296A" w:rsidRPr="003C7348" w:rsidRDefault="00A6296A" w:rsidP="00A6296A">
      <w:pPr>
        <w:jc w:val="both"/>
        <w:rPr>
          <w:sz w:val="20"/>
          <w:szCs w:val="20"/>
          <w:lang w:val="en-US"/>
        </w:rPr>
      </w:pPr>
    </w:p>
    <w:p w:rsidR="00A6296A" w:rsidRDefault="00A6296A" w:rsidP="00F173F9">
      <w:pPr>
        <w:pStyle w:val="IEEEHeading1"/>
        <w:numPr>
          <w:ilvl w:val="0"/>
          <w:numId w:val="0"/>
        </w:numPr>
        <w:spacing w:before="0" w:after="0"/>
        <w:ind w:left="289" w:hanging="289"/>
        <w:jc w:val="left"/>
        <w:rPr>
          <w:b/>
          <w:smallCaps w:val="0"/>
          <w:szCs w:val="20"/>
          <w:lang w:val="id-ID"/>
        </w:rPr>
      </w:pPr>
      <w:r w:rsidRPr="00CE7563">
        <w:rPr>
          <w:b/>
          <w:smallCaps w:val="0"/>
          <w:szCs w:val="20"/>
          <w:lang w:val="en-US"/>
        </w:rPr>
        <w:t xml:space="preserve">II. </w:t>
      </w:r>
      <w:r w:rsidR="00415E0F" w:rsidRPr="00CE7563">
        <w:rPr>
          <w:b/>
          <w:smallCaps w:val="0"/>
          <w:szCs w:val="20"/>
          <w:lang w:val="en-US"/>
        </w:rPr>
        <w:tab/>
      </w:r>
      <w:r w:rsidR="00AB77D0">
        <w:rPr>
          <w:b/>
          <w:smallCaps w:val="0"/>
          <w:szCs w:val="20"/>
          <w:lang w:val="en-US"/>
        </w:rPr>
        <w:t>LANDASAN TEORI</w:t>
      </w:r>
    </w:p>
    <w:p w:rsidR="001E6F65" w:rsidRPr="001E6F65" w:rsidRDefault="001E6F65" w:rsidP="001E6F65">
      <w:pPr>
        <w:jc w:val="both"/>
        <w:rPr>
          <w:sz w:val="20"/>
          <w:lang w:val="id-ID"/>
        </w:rPr>
      </w:pPr>
      <w:r w:rsidRPr="001E6F65">
        <w:rPr>
          <w:b/>
          <w:sz w:val="20"/>
          <w:lang w:val="id-ID"/>
        </w:rPr>
        <w:t>A</w:t>
      </w:r>
      <w:r w:rsidR="008066AF">
        <w:rPr>
          <w:b/>
          <w:sz w:val="20"/>
          <w:lang w:val="id-ID"/>
        </w:rPr>
        <w:t>.</w:t>
      </w:r>
      <w:r w:rsidRPr="001E6F65">
        <w:rPr>
          <w:b/>
          <w:sz w:val="20"/>
          <w:lang w:val="id-ID"/>
        </w:rPr>
        <w:t xml:space="preserve"> Tatakelola Teknologi Informasi</w:t>
      </w:r>
    </w:p>
    <w:p w:rsidR="001E6F65" w:rsidRPr="001E6F65" w:rsidRDefault="001E6F65" w:rsidP="001E6F65">
      <w:pPr>
        <w:ind w:firstLine="720"/>
        <w:jc w:val="both"/>
        <w:rPr>
          <w:sz w:val="20"/>
        </w:rPr>
      </w:pPr>
      <w:r w:rsidRPr="001E6F65">
        <w:rPr>
          <w:sz w:val="20"/>
        </w:rPr>
        <w:t>Menurut Wim Van Grembergen</w:t>
      </w:r>
      <w:r w:rsidRPr="001E6F65">
        <w:rPr>
          <w:sz w:val="20"/>
          <w:lang w:val="id-ID"/>
        </w:rPr>
        <w:t xml:space="preserve"> Tatakelola Teknologi Informasi atau </w:t>
      </w:r>
      <w:r w:rsidRPr="001E6F65">
        <w:rPr>
          <w:i/>
          <w:sz w:val="20"/>
        </w:rPr>
        <w:t>IT Governence</w:t>
      </w:r>
      <w:r w:rsidRPr="001E6F65">
        <w:rPr>
          <w:sz w:val="20"/>
        </w:rPr>
        <w:t xml:space="preserve"> merupakan konsep yang berkembang dari sektor swasta, namun dengan berkembangnya penggunaan Teknologi Informasi (TI) oleh sektor  publik organisasi-organisasi pemerintahan maka </w:t>
      </w:r>
      <w:r w:rsidRPr="001E6F65">
        <w:rPr>
          <w:i/>
          <w:sz w:val="20"/>
        </w:rPr>
        <w:t>IT Governence</w:t>
      </w:r>
      <w:r w:rsidRPr="001E6F65">
        <w:rPr>
          <w:sz w:val="20"/>
        </w:rPr>
        <w:t xml:space="preserve"> juga harus diterapkan di sektor yang banyak menuntut perbaikan pelayanan bagimasyarakat ini. Peranan  </w:t>
      </w:r>
      <w:r w:rsidRPr="001E6F65">
        <w:rPr>
          <w:i/>
          <w:sz w:val="20"/>
        </w:rPr>
        <w:t>IT Governence</w:t>
      </w:r>
      <w:r w:rsidRPr="001E6F65">
        <w:rPr>
          <w:sz w:val="20"/>
        </w:rPr>
        <w:t xml:space="preserve"> tidak lah diragukan lagi dalam pencapaian tujuan suatu organisasi yang mengadopsi TI. Seperti fungsi-fungsi manajemen lainnya pada organisasi publik ,maka  </w:t>
      </w:r>
      <w:r w:rsidRPr="001E6F65">
        <w:rPr>
          <w:i/>
          <w:sz w:val="20"/>
        </w:rPr>
        <w:t>IT Governence</w:t>
      </w:r>
      <w:r w:rsidRPr="001E6F65">
        <w:rPr>
          <w:sz w:val="20"/>
        </w:rPr>
        <w:t xml:space="preserve"> yang pada intinya adalah bagaimana memanajemen penggunaan TI agar menghasilkan output yang maksimal dalamorganisasi, membantu proses pengambilankeputusan dan membantu proses pemecahanmasalah juga harus dilakukan. Prinsip-prinsip  </w:t>
      </w:r>
      <w:r w:rsidRPr="001E6F65">
        <w:rPr>
          <w:i/>
          <w:sz w:val="20"/>
        </w:rPr>
        <w:t>IT Governence</w:t>
      </w:r>
      <w:r w:rsidRPr="001E6F65">
        <w:rPr>
          <w:sz w:val="20"/>
        </w:rPr>
        <w:t xml:space="preserve"> harus dilakukan secara terintegrasi, sebagaimana fungsi-fungsi manajemendilaksanakan secara sistemik dilaksanakan padasebuah organisasi publik. Beberapa pengertian </w:t>
      </w:r>
      <w:r w:rsidRPr="001E6F65">
        <w:rPr>
          <w:i/>
          <w:sz w:val="20"/>
        </w:rPr>
        <w:t>dari IT Governence</w:t>
      </w:r>
      <w:r w:rsidRPr="001E6F65">
        <w:rPr>
          <w:sz w:val="20"/>
        </w:rPr>
        <w:t xml:space="preserve"> diambil dari beberapa sumber adalah :</w:t>
      </w:r>
    </w:p>
    <w:p w:rsidR="001E6F65" w:rsidRPr="001E6F65" w:rsidRDefault="001E6F65" w:rsidP="001E6F65">
      <w:pPr>
        <w:pStyle w:val="ListParagraph1"/>
        <w:numPr>
          <w:ilvl w:val="0"/>
          <w:numId w:val="9"/>
        </w:numPr>
        <w:spacing w:after="0" w:line="240" w:lineRule="auto"/>
        <w:jc w:val="both"/>
        <w:rPr>
          <w:rFonts w:ascii="Times New Roman" w:hAnsi="Times New Roman"/>
          <w:i/>
          <w:sz w:val="20"/>
          <w:szCs w:val="24"/>
        </w:rPr>
      </w:pPr>
      <w:r w:rsidRPr="001E6F65">
        <w:rPr>
          <w:rFonts w:ascii="Times New Roman" w:hAnsi="Times New Roman"/>
          <w:i/>
          <w:sz w:val="20"/>
          <w:szCs w:val="24"/>
        </w:rPr>
        <w:t xml:space="preserve"> IT Governence</w:t>
      </w:r>
      <w:r w:rsidRPr="001E6F65">
        <w:rPr>
          <w:rFonts w:ascii="Times New Roman" w:hAnsi="Times New Roman"/>
          <w:i/>
          <w:sz w:val="20"/>
          <w:szCs w:val="24"/>
          <w:lang w:val="id-ID"/>
        </w:rPr>
        <w:t xml:space="preserve"> </w:t>
      </w:r>
      <w:r w:rsidRPr="001E6F65">
        <w:rPr>
          <w:rFonts w:ascii="Times New Roman" w:hAnsi="Times New Roman"/>
          <w:sz w:val="20"/>
          <w:szCs w:val="24"/>
        </w:rPr>
        <w:t xml:space="preserve">adalah tanggung jawab dewan direksi dan manajemen </w:t>
      </w:r>
      <w:r w:rsidRPr="001E6F65">
        <w:rPr>
          <w:rFonts w:ascii="Times New Roman" w:hAnsi="Times New Roman"/>
          <w:i/>
          <w:sz w:val="20"/>
          <w:szCs w:val="24"/>
        </w:rPr>
        <w:t>eksekutif</w:t>
      </w:r>
      <w:r w:rsidRPr="001E6F65">
        <w:rPr>
          <w:rFonts w:ascii="Times New Roman" w:hAnsi="Times New Roman"/>
          <w:sz w:val="20"/>
          <w:szCs w:val="24"/>
        </w:rPr>
        <w:t xml:space="preserve">. Merupakan bagian yang terin tegrasi dan menjadi bagian dari enterprise </w:t>
      </w:r>
      <w:r w:rsidRPr="001E6F65">
        <w:rPr>
          <w:rFonts w:ascii="Times New Roman" w:hAnsi="Times New Roman"/>
          <w:i/>
          <w:sz w:val="20"/>
          <w:szCs w:val="24"/>
        </w:rPr>
        <w:t>Governence</w:t>
      </w:r>
      <w:r w:rsidRPr="001E6F65">
        <w:rPr>
          <w:rFonts w:ascii="Times New Roman" w:hAnsi="Times New Roman"/>
          <w:sz w:val="20"/>
          <w:szCs w:val="24"/>
        </w:rPr>
        <w:t xml:space="preserve"> dan teridiri dari kepemimpinan dan struktur organisasi serta rangkaian proses untuk memastikan organisasi menjalan kan dan mengembangkan tujuan strategisnya.(</w:t>
      </w:r>
      <w:r w:rsidRPr="001E6F65">
        <w:rPr>
          <w:rFonts w:ascii="Times New Roman" w:hAnsi="Times New Roman"/>
          <w:i/>
          <w:sz w:val="20"/>
          <w:szCs w:val="24"/>
        </w:rPr>
        <w:t xml:space="preserve">www.itgi.org) </w:t>
      </w:r>
    </w:p>
    <w:p w:rsidR="001E6F65" w:rsidRPr="001E6F65" w:rsidRDefault="001E6F65" w:rsidP="001E6F65">
      <w:pPr>
        <w:pStyle w:val="ListParagraph1"/>
        <w:numPr>
          <w:ilvl w:val="0"/>
          <w:numId w:val="9"/>
        </w:numPr>
        <w:spacing w:after="0" w:line="240" w:lineRule="auto"/>
        <w:jc w:val="both"/>
        <w:rPr>
          <w:rFonts w:ascii="Times New Roman" w:hAnsi="Times New Roman"/>
          <w:sz w:val="20"/>
          <w:szCs w:val="24"/>
        </w:rPr>
      </w:pPr>
      <w:r w:rsidRPr="001E6F65">
        <w:rPr>
          <w:rFonts w:ascii="Times New Roman" w:hAnsi="Times New Roman"/>
          <w:i/>
          <w:sz w:val="20"/>
          <w:szCs w:val="24"/>
        </w:rPr>
        <w:t>IT Governence</w:t>
      </w:r>
      <w:r w:rsidRPr="001E6F65">
        <w:rPr>
          <w:rFonts w:ascii="Times New Roman" w:hAnsi="Times New Roman"/>
          <w:i/>
          <w:sz w:val="20"/>
          <w:szCs w:val="24"/>
          <w:lang w:val="id-ID"/>
        </w:rPr>
        <w:t xml:space="preserve"> </w:t>
      </w:r>
      <w:r w:rsidRPr="001E6F65">
        <w:rPr>
          <w:rFonts w:ascii="Times New Roman" w:hAnsi="Times New Roman"/>
          <w:sz w:val="20"/>
          <w:szCs w:val="24"/>
        </w:rPr>
        <w:t>adalah kapasistas dari</w:t>
      </w:r>
      <w:r w:rsidR="00F80F0C">
        <w:rPr>
          <w:rFonts w:ascii="Times New Roman" w:hAnsi="Times New Roman"/>
          <w:sz w:val="20"/>
          <w:szCs w:val="24"/>
          <w:lang w:val="id-ID"/>
        </w:rPr>
        <w:t xml:space="preserve"> </w:t>
      </w:r>
      <w:r w:rsidRPr="001E6F65">
        <w:rPr>
          <w:rFonts w:ascii="Times New Roman" w:hAnsi="Times New Roman"/>
          <w:sz w:val="20"/>
          <w:szCs w:val="24"/>
        </w:rPr>
        <w:t>organisasi yang dikuasai oleh dewan,majemen ekeskutif dan manajementeknologi informasi untuk mengontrol</w:t>
      </w:r>
      <w:r w:rsidR="00F80F0C">
        <w:rPr>
          <w:rFonts w:ascii="Times New Roman" w:hAnsi="Times New Roman"/>
          <w:sz w:val="20"/>
          <w:szCs w:val="24"/>
          <w:lang w:val="id-ID"/>
        </w:rPr>
        <w:t xml:space="preserve"> </w:t>
      </w:r>
      <w:r w:rsidRPr="001E6F65">
        <w:rPr>
          <w:rFonts w:ascii="Times New Roman" w:hAnsi="Times New Roman"/>
          <w:sz w:val="20"/>
          <w:szCs w:val="24"/>
        </w:rPr>
        <w:t>formulasi dan implementasi strategiteknologi informasi sehingga bisamensinergikan dengan bisnis yang</w:t>
      </w:r>
      <w:r w:rsidR="00F80F0C">
        <w:rPr>
          <w:rFonts w:ascii="Times New Roman" w:hAnsi="Times New Roman"/>
          <w:sz w:val="20"/>
          <w:szCs w:val="24"/>
          <w:lang w:val="id-ID"/>
        </w:rPr>
        <w:t xml:space="preserve"> </w:t>
      </w:r>
      <w:r w:rsidRPr="001E6F65">
        <w:rPr>
          <w:rFonts w:ascii="Times New Roman" w:hAnsi="Times New Roman"/>
          <w:sz w:val="20"/>
          <w:szCs w:val="24"/>
        </w:rPr>
        <w:t>dijalankan.</w:t>
      </w:r>
    </w:p>
    <w:p w:rsidR="001E6F65" w:rsidRPr="001E6F65" w:rsidRDefault="001E6F65" w:rsidP="001E6F65">
      <w:pPr>
        <w:pStyle w:val="ListParagraph1"/>
        <w:numPr>
          <w:ilvl w:val="0"/>
          <w:numId w:val="9"/>
        </w:numPr>
        <w:spacing w:after="0" w:line="240" w:lineRule="auto"/>
        <w:jc w:val="both"/>
        <w:rPr>
          <w:rFonts w:ascii="Times New Roman" w:hAnsi="Times New Roman"/>
          <w:sz w:val="20"/>
          <w:szCs w:val="24"/>
        </w:rPr>
      </w:pPr>
      <w:r w:rsidRPr="001E6F65">
        <w:rPr>
          <w:rFonts w:ascii="Times New Roman" w:hAnsi="Times New Roman"/>
          <w:i/>
          <w:sz w:val="20"/>
          <w:szCs w:val="24"/>
        </w:rPr>
        <w:t xml:space="preserve"> IT Governence</w:t>
      </w:r>
      <w:r w:rsidRPr="001E6F65">
        <w:rPr>
          <w:rFonts w:ascii="Times New Roman" w:hAnsi="Times New Roman"/>
          <w:i/>
          <w:sz w:val="20"/>
          <w:szCs w:val="24"/>
          <w:lang w:val="id-ID"/>
        </w:rPr>
        <w:t xml:space="preserve"> </w:t>
      </w:r>
      <w:r w:rsidRPr="001E6F65">
        <w:rPr>
          <w:rFonts w:ascii="Times New Roman" w:hAnsi="Times New Roman"/>
          <w:sz w:val="20"/>
          <w:szCs w:val="24"/>
          <w:lang w:val="id-ID"/>
        </w:rPr>
        <w:t>adalah</w:t>
      </w:r>
      <w:r w:rsidRPr="001E6F65">
        <w:rPr>
          <w:rFonts w:ascii="Times New Roman" w:hAnsi="Times New Roman"/>
          <w:sz w:val="20"/>
          <w:szCs w:val="24"/>
        </w:rPr>
        <w:t xml:space="preserve"> menspesifikasikan sebuah hak memutuskan dan kerangka</w:t>
      </w:r>
      <w:r w:rsidR="00F80F0C">
        <w:rPr>
          <w:rFonts w:ascii="Times New Roman" w:hAnsi="Times New Roman"/>
          <w:sz w:val="20"/>
          <w:szCs w:val="24"/>
          <w:lang w:val="id-ID"/>
        </w:rPr>
        <w:t xml:space="preserve"> </w:t>
      </w:r>
      <w:r w:rsidRPr="001E6F65">
        <w:rPr>
          <w:rFonts w:ascii="Times New Roman" w:hAnsi="Times New Roman"/>
          <w:sz w:val="20"/>
          <w:szCs w:val="24"/>
        </w:rPr>
        <w:t>akutanbilitas untuk tingkah laku penggunaaan teknologi informasi.</w:t>
      </w:r>
    </w:p>
    <w:p w:rsidR="001E6F65" w:rsidRPr="001E6F65" w:rsidRDefault="001E6F65" w:rsidP="001E6F65">
      <w:pPr>
        <w:pStyle w:val="ListParagraph1"/>
        <w:numPr>
          <w:ilvl w:val="0"/>
          <w:numId w:val="9"/>
        </w:numPr>
        <w:spacing w:after="0" w:line="240" w:lineRule="auto"/>
        <w:jc w:val="both"/>
        <w:rPr>
          <w:rFonts w:ascii="Times New Roman" w:hAnsi="Times New Roman"/>
          <w:sz w:val="20"/>
          <w:szCs w:val="24"/>
        </w:rPr>
      </w:pPr>
      <w:r w:rsidRPr="001E6F65">
        <w:rPr>
          <w:rFonts w:ascii="Times New Roman" w:hAnsi="Times New Roman"/>
          <w:i/>
          <w:sz w:val="20"/>
          <w:szCs w:val="24"/>
        </w:rPr>
        <w:t xml:space="preserve"> IT Governence</w:t>
      </w:r>
      <w:r w:rsidRPr="001E6F65">
        <w:rPr>
          <w:rFonts w:ascii="Times New Roman" w:hAnsi="Times New Roman"/>
          <w:i/>
          <w:sz w:val="20"/>
          <w:szCs w:val="24"/>
          <w:lang w:val="id-ID"/>
        </w:rPr>
        <w:t xml:space="preserve"> </w:t>
      </w:r>
      <w:r w:rsidRPr="001E6F65">
        <w:rPr>
          <w:rFonts w:ascii="Times New Roman" w:hAnsi="Times New Roman"/>
          <w:sz w:val="20"/>
          <w:szCs w:val="24"/>
        </w:rPr>
        <w:t xml:space="preserve">adalah sebuah istilah untuk mendeskripsikan bagaimana orang-orang yang dipercaya untuk tata kelolamemperhatikan teknologi informasi dalam </w:t>
      </w:r>
      <w:r w:rsidRPr="001E6F65">
        <w:rPr>
          <w:rFonts w:ascii="Times New Roman" w:hAnsi="Times New Roman"/>
          <w:i/>
          <w:sz w:val="20"/>
          <w:szCs w:val="24"/>
        </w:rPr>
        <w:t>upervisi,</w:t>
      </w:r>
      <w:r w:rsidRPr="001E6F65">
        <w:rPr>
          <w:rFonts w:ascii="Times New Roman" w:hAnsi="Times New Roman"/>
          <w:sz w:val="20"/>
          <w:szCs w:val="24"/>
        </w:rPr>
        <w:t xml:space="preserve"> pengawasan, kontrol dan arahansebagai sebuah entitas. Mengatur juga bagaimana teknologi informasi</w:t>
      </w:r>
      <w:r w:rsidR="00F80F0C">
        <w:rPr>
          <w:rFonts w:ascii="Times New Roman" w:hAnsi="Times New Roman"/>
          <w:sz w:val="20"/>
          <w:szCs w:val="24"/>
          <w:lang w:val="id-ID"/>
        </w:rPr>
        <w:t xml:space="preserve"> </w:t>
      </w:r>
      <w:r w:rsidRPr="001E6F65">
        <w:rPr>
          <w:rFonts w:ascii="Times New Roman" w:hAnsi="Times New Roman"/>
          <w:sz w:val="20"/>
          <w:szCs w:val="24"/>
        </w:rPr>
        <w:t>diaplikasikan sehingga mempunyai pengaruh pada entitas dalam pencapaianvisi, misi dan tujuan strategis.</w:t>
      </w:r>
    </w:p>
    <w:p w:rsidR="001E6F65" w:rsidRPr="001E6F65" w:rsidRDefault="001E6F65" w:rsidP="001E6F65">
      <w:pPr>
        <w:pStyle w:val="ListParagraph1"/>
        <w:numPr>
          <w:ilvl w:val="0"/>
          <w:numId w:val="9"/>
        </w:numPr>
        <w:spacing w:after="0" w:line="240" w:lineRule="auto"/>
        <w:jc w:val="both"/>
        <w:rPr>
          <w:rFonts w:ascii="Times New Roman" w:hAnsi="Times New Roman"/>
          <w:sz w:val="20"/>
          <w:szCs w:val="24"/>
        </w:rPr>
      </w:pPr>
      <w:bookmarkStart w:id="0" w:name="_Hlk399455114"/>
      <w:r w:rsidRPr="001E6F65">
        <w:rPr>
          <w:rFonts w:ascii="Times New Roman" w:hAnsi="Times New Roman"/>
          <w:i/>
          <w:sz w:val="20"/>
          <w:szCs w:val="24"/>
        </w:rPr>
        <w:t>IT Governence</w:t>
      </w:r>
      <w:r w:rsidRPr="001E6F65">
        <w:rPr>
          <w:rFonts w:ascii="Times New Roman" w:hAnsi="Times New Roman"/>
          <w:i/>
          <w:sz w:val="20"/>
          <w:szCs w:val="24"/>
          <w:lang w:val="id-ID"/>
        </w:rPr>
        <w:t xml:space="preserve"> </w:t>
      </w:r>
      <w:bookmarkEnd w:id="0"/>
      <w:r w:rsidRPr="001E6F65">
        <w:rPr>
          <w:rFonts w:ascii="Times New Roman" w:hAnsi="Times New Roman"/>
          <w:sz w:val="20"/>
          <w:szCs w:val="24"/>
        </w:rPr>
        <w:t>secara umum sebenarnya adalah bagian terintegrasi dari sebuah Corporate Gov</w:t>
      </w:r>
      <w:r w:rsidR="00F80F0C">
        <w:rPr>
          <w:rFonts w:ascii="Times New Roman" w:hAnsi="Times New Roman"/>
          <w:sz w:val="20"/>
          <w:szCs w:val="24"/>
          <w:lang w:val="id-ID"/>
        </w:rPr>
        <w:t>e</w:t>
      </w:r>
      <w:r w:rsidRPr="001E6F65">
        <w:rPr>
          <w:rFonts w:ascii="Times New Roman" w:hAnsi="Times New Roman"/>
          <w:sz w:val="20"/>
          <w:szCs w:val="24"/>
        </w:rPr>
        <w:t xml:space="preserve">rnance. Dapat dilihat dari </w:t>
      </w:r>
      <w:r w:rsidRPr="001E6F65">
        <w:rPr>
          <w:rFonts w:ascii="Times New Roman" w:hAnsi="Times New Roman"/>
          <w:i/>
          <w:sz w:val="20"/>
          <w:szCs w:val="24"/>
        </w:rPr>
        <w:t>diagra</w:t>
      </w:r>
      <w:r w:rsidR="00F80F0C">
        <w:rPr>
          <w:rFonts w:ascii="Times New Roman" w:hAnsi="Times New Roman"/>
          <w:i/>
          <w:sz w:val="20"/>
          <w:szCs w:val="24"/>
        </w:rPr>
        <w:t>m Corporatedan Key Asset Govern</w:t>
      </w:r>
      <w:r w:rsidR="00F80F0C">
        <w:rPr>
          <w:rFonts w:ascii="Times New Roman" w:hAnsi="Times New Roman"/>
          <w:i/>
          <w:sz w:val="20"/>
          <w:szCs w:val="24"/>
          <w:lang w:val="id-ID"/>
        </w:rPr>
        <w:t>a</w:t>
      </w:r>
      <w:r w:rsidRPr="001E6F65">
        <w:rPr>
          <w:rFonts w:ascii="Times New Roman" w:hAnsi="Times New Roman"/>
          <w:i/>
          <w:sz w:val="20"/>
          <w:szCs w:val="24"/>
        </w:rPr>
        <w:t>nce</w:t>
      </w:r>
      <w:r w:rsidRPr="001E6F65">
        <w:rPr>
          <w:rFonts w:ascii="Times New Roman" w:hAnsi="Times New Roman"/>
          <w:i/>
          <w:sz w:val="20"/>
          <w:szCs w:val="24"/>
          <w:lang w:val="id-ID"/>
        </w:rPr>
        <w:t xml:space="preserve"> </w:t>
      </w:r>
      <w:r w:rsidRPr="001E6F65">
        <w:rPr>
          <w:rFonts w:ascii="Times New Roman" w:hAnsi="Times New Roman"/>
          <w:sz w:val="20"/>
          <w:szCs w:val="24"/>
        </w:rPr>
        <w:t>(Weil, 2004).</w:t>
      </w:r>
    </w:p>
    <w:p w:rsidR="001E6F65" w:rsidRPr="001E6F65" w:rsidRDefault="001E6F65" w:rsidP="001E6F65">
      <w:pPr>
        <w:ind w:left="780"/>
        <w:jc w:val="center"/>
        <w:rPr>
          <w:sz w:val="20"/>
        </w:rPr>
      </w:pPr>
    </w:p>
    <w:p w:rsidR="001E6F65" w:rsidRPr="001E6F65" w:rsidRDefault="001E6F65" w:rsidP="00312AB0">
      <w:pPr>
        <w:jc w:val="both"/>
        <w:rPr>
          <w:b/>
          <w:i/>
          <w:sz w:val="20"/>
        </w:rPr>
      </w:pPr>
      <w:r>
        <w:rPr>
          <w:b/>
          <w:sz w:val="20"/>
          <w:lang w:val="id-ID"/>
        </w:rPr>
        <w:t>B</w:t>
      </w:r>
      <w:r w:rsidR="008066AF">
        <w:rPr>
          <w:b/>
          <w:sz w:val="20"/>
          <w:lang w:val="id-ID"/>
        </w:rPr>
        <w:t>.</w:t>
      </w:r>
      <w:r>
        <w:rPr>
          <w:b/>
          <w:sz w:val="20"/>
          <w:lang w:val="id-ID"/>
        </w:rPr>
        <w:t xml:space="preserve"> </w:t>
      </w:r>
      <w:r w:rsidRPr="001E6F65">
        <w:rPr>
          <w:b/>
          <w:sz w:val="20"/>
        </w:rPr>
        <w:t>Audit IT Governance</w:t>
      </w:r>
    </w:p>
    <w:p w:rsidR="001E6F65" w:rsidRPr="001E6F65" w:rsidRDefault="001E6F65" w:rsidP="001E6F65">
      <w:pPr>
        <w:ind w:firstLine="720"/>
        <w:jc w:val="both"/>
        <w:rPr>
          <w:color w:val="000000"/>
          <w:sz w:val="20"/>
          <w:lang w:val="id-ID"/>
        </w:rPr>
      </w:pPr>
      <w:r w:rsidRPr="001E6F65">
        <w:rPr>
          <w:color w:val="000000"/>
          <w:sz w:val="20"/>
          <w:lang w:val="fi-FI"/>
        </w:rPr>
        <w:t xml:space="preserve">Menurut Iliescu (2010), </w:t>
      </w:r>
      <w:r w:rsidRPr="001E6F65">
        <w:rPr>
          <w:i/>
          <w:color w:val="000000"/>
          <w:sz w:val="20"/>
          <w:lang w:val="fi-FI"/>
        </w:rPr>
        <w:t>audit IT Governence</w:t>
      </w:r>
      <w:r w:rsidRPr="001E6F65">
        <w:rPr>
          <w:color w:val="000000"/>
          <w:sz w:val="20"/>
          <w:lang w:val="fi-FI"/>
        </w:rPr>
        <w:t xml:space="preserve"> membutuhkan pengetahuan yang lebih di bandingkan audit Sistem Informasi biasa karena </w:t>
      </w:r>
      <w:r w:rsidRPr="001E6F65">
        <w:rPr>
          <w:i/>
          <w:color w:val="000000"/>
          <w:sz w:val="20"/>
          <w:lang w:val="fi-FI"/>
        </w:rPr>
        <w:t>auditor TI</w:t>
      </w:r>
      <w:r w:rsidRPr="001E6F65">
        <w:rPr>
          <w:color w:val="000000"/>
          <w:sz w:val="20"/>
          <w:lang w:val="fi-FI"/>
        </w:rPr>
        <w:t xml:space="preserve"> harus mengevaluasi sejau mana TI mendukung strategi bisnis. Audit sistem informasi umumnya digunakan untuk menjelaskan perbedaan jenis aktivitas yang terkait dengan komputer. Seperti untuk menjelaskan pengkajian ulang proses dan evaluasi pengendalian internal dalam sebuah sistem pemrosesan data elektronik. Sementara audit </w:t>
      </w:r>
      <w:r w:rsidRPr="001E6F65">
        <w:rPr>
          <w:i/>
          <w:color w:val="000000"/>
          <w:sz w:val="20"/>
          <w:lang w:val="fi-FI"/>
        </w:rPr>
        <w:t>IT Governence</w:t>
      </w:r>
      <w:r w:rsidRPr="001E6F65">
        <w:rPr>
          <w:color w:val="000000"/>
          <w:sz w:val="20"/>
          <w:lang w:val="fi-FI"/>
        </w:rPr>
        <w:t xml:space="preserve"> mencakup lingkup yang lebih luas, bertujuan untuk memeriksa apakah tata kelola sumber daya TI (termasuk di dalamnya manajemen organisasi dan pimpinan) dapat mendukung dan sejalan dengan strategi bisnis.</w:t>
      </w:r>
    </w:p>
    <w:p w:rsidR="00A6296A" w:rsidRPr="003C7348" w:rsidRDefault="00A6296A" w:rsidP="00A6296A">
      <w:pPr>
        <w:ind w:firstLine="284"/>
        <w:jc w:val="both"/>
        <w:rPr>
          <w:sz w:val="20"/>
          <w:szCs w:val="20"/>
          <w:lang w:val="en-US"/>
        </w:rPr>
      </w:pPr>
    </w:p>
    <w:p w:rsidR="00A6296A" w:rsidRPr="00FB2EE9" w:rsidRDefault="00A6296A" w:rsidP="00AB77D0">
      <w:pPr>
        <w:pStyle w:val="IEEEHeading1"/>
        <w:numPr>
          <w:ilvl w:val="0"/>
          <w:numId w:val="0"/>
        </w:numPr>
        <w:spacing w:before="0" w:after="0"/>
        <w:ind w:left="289" w:hanging="289"/>
        <w:jc w:val="left"/>
        <w:rPr>
          <w:b/>
          <w:smallCaps w:val="0"/>
          <w:szCs w:val="20"/>
          <w:lang w:val="en-US"/>
        </w:rPr>
      </w:pPr>
      <w:r w:rsidRPr="00FB2EE9">
        <w:rPr>
          <w:b/>
          <w:smallCaps w:val="0"/>
          <w:szCs w:val="20"/>
          <w:lang w:val="en-US"/>
        </w:rPr>
        <w:t xml:space="preserve">III. </w:t>
      </w:r>
      <w:r w:rsidR="00AB77D0">
        <w:rPr>
          <w:b/>
          <w:smallCaps w:val="0"/>
          <w:szCs w:val="20"/>
          <w:lang w:val="en-US"/>
        </w:rPr>
        <w:t>METODE PENELITIAN</w:t>
      </w:r>
    </w:p>
    <w:p w:rsidR="008066AF" w:rsidRPr="008066AF" w:rsidRDefault="008066AF" w:rsidP="008066AF">
      <w:pPr>
        <w:jc w:val="both"/>
        <w:rPr>
          <w:b/>
          <w:color w:val="000000"/>
          <w:sz w:val="20"/>
          <w:szCs w:val="20"/>
          <w:lang w:val="fi-FI"/>
        </w:rPr>
      </w:pPr>
      <w:r>
        <w:rPr>
          <w:b/>
          <w:color w:val="000000"/>
          <w:sz w:val="20"/>
          <w:szCs w:val="20"/>
          <w:lang w:val="id-ID"/>
        </w:rPr>
        <w:t>A.</w:t>
      </w:r>
      <w:r w:rsidRPr="008066AF">
        <w:rPr>
          <w:b/>
          <w:color w:val="000000"/>
          <w:sz w:val="20"/>
          <w:szCs w:val="20"/>
          <w:lang w:val="id-ID"/>
        </w:rPr>
        <w:t xml:space="preserve"> </w:t>
      </w:r>
      <w:r w:rsidRPr="008066AF">
        <w:rPr>
          <w:b/>
          <w:color w:val="000000"/>
          <w:sz w:val="20"/>
          <w:szCs w:val="20"/>
          <w:lang w:val="fi-FI"/>
        </w:rPr>
        <w:t>Waktu dan Tempat Penelitian</w:t>
      </w:r>
    </w:p>
    <w:p w:rsidR="008066AF" w:rsidRPr="008066AF" w:rsidRDefault="008066AF" w:rsidP="008066AF">
      <w:pPr>
        <w:pStyle w:val="ListParagraph"/>
        <w:ind w:left="0" w:firstLine="426"/>
        <w:jc w:val="both"/>
        <w:rPr>
          <w:b/>
          <w:color w:val="000000"/>
          <w:sz w:val="20"/>
          <w:szCs w:val="20"/>
          <w:lang w:val="fi-FI"/>
        </w:rPr>
      </w:pPr>
      <w:r w:rsidRPr="008066AF">
        <w:rPr>
          <w:sz w:val="20"/>
          <w:szCs w:val="20"/>
          <w:lang w:val="it-IT"/>
        </w:rPr>
        <w:t xml:space="preserve">Waktu Penelitian ini akan dilaksanakan dari bulan April sampai dengan bulan Oktober 2015. Adapun tempat penelitian yaitu </w:t>
      </w:r>
      <w:r w:rsidR="000111EF">
        <w:rPr>
          <w:sz w:val="20"/>
          <w:szCs w:val="20"/>
          <w:lang w:val="it-IT"/>
        </w:rPr>
        <w:t>R</w:t>
      </w:r>
      <w:r w:rsidR="000111EF">
        <w:rPr>
          <w:sz w:val="20"/>
          <w:szCs w:val="20"/>
          <w:lang w:val="id-ID"/>
        </w:rPr>
        <w:t>umah Sakit</w:t>
      </w:r>
      <w:r w:rsidRPr="008066AF">
        <w:rPr>
          <w:sz w:val="20"/>
          <w:szCs w:val="20"/>
          <w:lang w:val="it-IT"/>
        </w:rPr>
        <w:t>. Kusta Dr.Rivai Abdullah Palembang.</w:t>
      </w:r>
      <w:r w:rsidRPr="008066AF">
        <w:rPr>
          <w:b/>
          <w:color w:val="000000"/>
          <w:sz w:val="20"/>
          <w:szCs w:val="20"/>
          <w:lang w:val="fi-FI"/>
        </w:rPr>
        <w:t xml:space="preserve"> </w:t>
      </w:r>
    </w:p>
    <w:p w:rsidR="00312AB0" w:rsidRDefault="00312AB0" w:rsidP="008066AF">
      <w:pPr>
        <w:jc w:val="both"/>
        <w:rPr>
          <w:b/>
          <w:sz w:val="20"/>
          <w:szCs w:val="20"/>
          <w:lang w:val="id-ID"/>
        </w:rPr>
      </w:pPr>
    </w:p>
    <w:p w:rsidR="00312AB0" w:rsidRPr="00312AB0" w:rsidRDefault="008066AF" w:rsidP="00312AB0">
      <w:pPr>
        <w:jc w:val="both"/>
        <w:rPr>
          <w:b/>
          <w:sz w:val="20"/>
          <w:szCs w:val="20"/>
        </w:rPr>
      </w:pPr>
      <w:r w:rsidRPr="00312AB0">
        <w:rPr>
          <w:b/>
          <w:sz w:val="20"/>
          <w:szCs w:val="20"/>
          <w:lang w:val="id-ID"/>
        </w:rPr>
        <w:t xml:space="preserve">B. </w:t>
      </w:r>
      <w:r w:rsidR="00312AB0" w:rsidRPr="00312AB0">
        <w:rPr>
          <w:b/>
          <w:sz w:val="20"/>
          <w:szCs w:val="20"/>
        </w:rPr>
        <w:t>Metode Pengumpulan Data</w:t>
      </w:r>
    </w:p>
    <w:p w:rsidR="00312AB0" w:rsidRPr="00312AB0" w:rsidRDefault="00312AB0" w:rsidP="00312AB0">
      <w:pPr>
        <w:ind w:firstLine="284"/>
        <w:jc w:val="both"/>
        <w:rPr>
          <w:sz w:val="20"/>
          <w:szCs w:val="20"/>
        </w:rPr>
      </w:pPr>
      <w:r w:rsidRPr="00312AB0">
        <w:rPr>
          <w:b/>
          <w:sz w:val="20"/>
          <w:szCs w:val="20"/>
        </w:rPr>
        <w:tab/>
      </w:r>
      <w:r w:rsidRPr="00312AB0">
        <w:rPr>
          <w:sz w:val="20"/>
          <w:szCs w:val="20"/>
        </w:rPr>
        <w:t xml:space="preserve">Penelitian ini di dasarkan analisanya pada kombinasi data antara kualitatif dan kuantitaif. Data yang terkait dengan analisis kemampuan nantinya akan bersifat kuantittif yang akan diperoleh dari penyebaran kuesioner sedangkan untuk analisis mengenai fitur teknologi informasi akan diperoleh melalui wawancara </w:t>
      </w:r>
      <w:r w:rsidRPr="00312AB0">
        <w:rPr>
          <w:sz w:val="20"/>
          <w:szCs w:val="20"/>
        </w:rPr>
        <w:lastRenderedPageBreak/>
        <w:t>terhadap anggota perusahaan yang berkepentingan seperti pengguna, manajemen dan staf teknologi informasi komputer</w:t>
      </w:r>
    </w:p>
    <w:p w:rsidR="00312AB0" w:rsidRDefault="00312AB0" w:rsidP="008066AF">
      <w:pPr>
        <w:jc w:val="both"/>
        <w:rPr>
          <w:b/>
          <w:sz w:val="20"/>
          <w:szCs w:val="20"/>
          <w:lang w:val="id-ID"/>
        </w:rPr>
      </w:pPr>
    </w:p>
    <w:p w:rsidR="008066AF" w:rsidRPr="008066AF" w:rsidRDefault="00312AB0" w:rsidP="00312AB0">
      <w:pPr>
        <w:tabs>
          <w:tab w:val="left" w:pos="284"/>
        </w:tabs>
        <w:jc w:val="both"/>
        <w:rPr>
          <w:sz w:val="20"/>
          <w:szCs w:val="20"/>
        </w:rPr>
      </w:pPr>
      <w:r>
        <w:rPr>
          <w:b/>
          <w:sz w:val="20"/>
          <w:szCs w:val="20"/>
          <w:lang w:val="id-ID"/>
        </w:rPr>
        <w:t xml:space="preserve">C. </w:t>
      </w:r>
      <w:r w:rsidR="008066AF" w:rsidRPr="008066AF">
        <w:rPr>
          <w:b/>
          <w:sz w:val="20"/>
          <w:szCs w:val="20"/>
        </w:rPr>
        <w:t>Metode Pengolahan Data</w:t>
      </w:r>
    </w:p>
    <w:p w:rsidR="008066AF" w:rsidRPr="008066AF" w:rsidRDefault="008066AF" w:rsidP="00312AB0">
      <w:pPr>
        <w:ind w:firstLine="284"/>
        <w:jc w:val="both"/>
        <w:rPr>
          <w:sz w:val="20"/>
          <w:szCs w:val="20"/>
        </w:rPr>
      </w:pPr>
      <w:r w:rsidRPr="008066AF">
        <w:rPr>
          <w:sz w:val="20"/>
          <w:szCs w:val="20"/>
        </w:rPr>
        <w:t xml:space="preserve">Keseluruhan responden akan mendapatkan perlakuan yang sama dalam pengisian data kuesioner sebelum nantinya akan diolah dalam analisis data. Kuesioner akan dilengkapi dengan penjelasan tertentu agar setiap responden memahami maksud dari kuesioner tersebut.Pengolahan data yang di buat adalah data yang di dapatkan dari hasil wawancara dan hasil kuesioner sehingga data benar benar terdapat dari rumah sakit tersebut.  Dari data tersebut bisa di analisis dan mengetahui kemampuan TIK saat ini di  rumah sakit. Dan menentukan di aktivitas EDM manakah yang menjuru terhadap rumah sakit sehingga bisa di buat perbaikan aktivitas dengan menggunakan </w:t>
      </w:r>
      <w:r w:rsidRPr="008066AF">
        <w:rPr>
          <w:i/>
          <w:sz w:val="20"/>
          <w:szCs w:val="20"/>
        </w:rPr>
        <w:t>cobit</w:t>
      </w:r>
      <w:r w:rsidRPr="008066AF">
        <w:rPr>
          <w:sz w:val="20"/>
          <w:szCs w:val="20"/>
        </w:rPr>
        <w:t xml:space="preserve"> 5.0.  </w:t>
      </w:r>
    </w:p>
    <w:p w:rsidR="008066AF" w:rsidRDefault="008066AF" w:rsidP="00A6296A">
      <w:pPr>
        <w:ind w:firstLine="284"/>
        <w:jc w:val="both"/>
        <w:rPr>
          <w:sz w:val="20"/>
          <w:szCs w:val="20"/>
          <w:lang w:val="id-ID"/>
        </w:rPr>
      </w:pPr>
    </w:p>
    <w:p w:rsidR="001932A1" w:rsidRPr="00FB2EE9" w:rsidRDefault="00556019" w:rsidP="00AB77D0">
      <w:pPr>
        <w:rPr>
          <w:b/>
          <w:sz w:val="20"/>
          <w:szCs w:val="20"/>
          <w:lang w:val="sv-SE"/>
        </w:rPr>
      </w:pPr>
      <w:r w:rsidRPr="00FB2EE9">
        <w:rPr>
          <w:b/>
          <w:sz w:val="20"/>
          <w:szCs w:val="20"/>
          <w:lang w:val="sv-SE"/>
        </w:rPr>
        <w:t xml:space="preserve">IV. </w:t>
      </w:r>
      <w:r w:rsidR="00AB77D0">
        <w:rPr>
          <w:b/>
          <w:sz w:val="20"/>
          <w:szCs w:val="20"/>
          <w:lang w:val="sv-SE"/>
        </w:rPr>
        <w:t xml:space="preserve"> HASIL DAN PEMBAHASAN</w:t>
      </w:r>
    </w:p>
    <w:p w:rsidR="008066AF" w:rsidRPr="008066AF" w:rsidRDefault="00BD150D" w:rsidP="008066AF">
      <w:pPr>
        <w:spacing w:line="360" w:lineRule="auto"/>
        <w:rPr>
          <w:b/>
          <w:sz w:val="20"/>
          <w:szCs w:val="20"/>
          <w:lang w:val="id-ID"/>
        </w:rPr>
      </w:pPr>
      <w:r>
        <w:rPr>
          <w:b/>
          <w:sz w:val="20"/>
          <w:szCs w:val="20"/>
          <w:lang w:val="id-ID"/>
        </w:rPr>
        <w:t>A.</w:t>
      </w:r>
      <w:r w:rsidR="008066AF" w:rsidRPr="008066AF">
        <w:rPr>
          <w:b/>
          <w:sz w:val="20"/>
          <w:szCs w:val="20"/>
          <w:lang w:val="id-ID"/>
        </w:rPr>
        <w:t xml:space="preserve"> Profil Responden</w:t>
      </w:r>
    </w:p>
    <w:p w:rsidR="008066AF" w:rsidRPr="008066AF" w:rsidRDefault="008066AF" w:rsidP="00312AB0">
      <w:pPr>
        <w:ind w:firstLine="284"/>
        <w:jc w:val="both"/>
        <w:rPr>
          <w:sz w:val="20"/>
          <w:szCs w:val="20"/>
        </w:rPr>
      </w:pPr>
      <w:r w:rsidRPr="008066AF">
        <w:rPr>
          <w:sz w:val="20"/>
          <w:szCs w:val="20"/>
        </w:rPr>
        <w:t>Responden yang dipilih oleh penulis adalah responden yang mewakili table RACI (</w:t>
      </w:r>
      <w:r w:rsidRPr="008066AF">
        <w:rPr>
          <w:i/>
          <w:sz w:val="20"/>
          <w:szCs w:val="20"/>
        </w:rPr>
        <w:t>Responsibility, Accountability, Consult, and Inform</w:t>
      </w:r>
      <w:r w:rsidRPr="008066AF">
        <w:rPr>
          <w:sz w:val="20"/>
          <w:szCs w:val="20"/>
        </w:rPr>
        <w:t xml:space="preserve">) pada proses pengolahan data (IT </w:t>
      </w:r>
      <w:r w:rsidRPr="008066AF">
        <w:rPr>
          <w:i/>
          <w:sz w:val="20"/>
          <w:szCs w:val="20"/>
        </w:rPr>
        <w:t>Governence</w:t>
      </w:r>
      <w:r w:rsidRPr="008066AF">
        <w:rPr>
          <w:sz w:val="20"/>
          <w:szCs w:val="20"/>
        </w:rPr>
        <w:t xml:space="preserve"> Institute, 2007) dan Pengguna Dari R</w:t>
      </w:r>
      <w:r w:rsidR="000111EF">
        <w:rPr>
          <w:sz w:val="20"/>
          <w:szCs w:val="20"/>
          <w:lang w:val="id-ID"/>
        </w:rPr>
        <w:t>SKRA</w:t>
      </w:r>
      <w:r w:rsidRPr="008066AF">
        <w:rPr>
          <w:sz w:val="20"/>
          <w:szCs w:val="20"/>
        </w:rPr>
        <w:t>.</w:t>
      </w:r>
    </w:p>
    <w:p w:rsidR="008066AF" w:rsidRPr="00BD150D" w:rsidRDefault="008066AF" w:rsidP="00312AB0">
      <w:pPr>
        <w:jc w:val="center"/>
        <w:rPr>
          <w:sz w:val="18"/>
          <w:szCs w:val="20"/>
        </w:rPr>
      </w:pPr>
      <w:r w:rsidRPr="00BD150D">
        <w:rPr>
          <w:sz w:val="18"/>
          <w:szCs w:val="20"/>
        </w:rPr>
        <w:t xml:space="preserve">Tabel </w:t>
      </w:r>
      <w:r w:rsidRPr="00BD150D">
        <w:rPr>
          <w:sz w:val="18"/>
          <w:szCs w:val="20"/>
          <w:lang w:val="id-ID"/>
        </w:rPr>
        <w:t>1</w:t>
      </w:r>
      <w:r w:rsidRPr="00BD150D">
        <w:rPr>
          <w:sz w:val="18"/>
          <w:szCs w:val="20"/>
        </w:rPr>
        <w:t xml:space="preserve"> Racii</w:t>
      </w:r>
      <w:r w:rsidRPr="00BD150D">
        <w:rPr>
          <w:rFonts w:eastAsia="Times New Roman"/>
          <w:sz w:val="18"/>
          <w:szCs w:val="20"/>
        </w:rPr>
        <w:tab/>
      </w:r>
    </w:p>
    <w:tbl>
      <w:tblPr>
        <w:tblpPr w:leftFromText="180" w:rightFromText="180" w:vertAnchor="text" w:horzAnchor="margin" w:tblpXSpec="center" w:tblpY="22"/>
        <w:tblW w:w="6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268"/>
        <w:gridCol w:w="2127"/>
      </w:tblGrid>
      <w:tr w:rsidR="008066AF" w:rsidRPr="00BD150D" w:rsidTr="00BD150D">
        <w:trPr>
          <w:trHeight w:val="132"/>
        </w:trPr>
        <w:tc>
          <w:tcPr>
            <w:tcW w:w="2126" w:type="dxa"/>
            <w:shd w:val="clear" w:color="auto" w:fill="95B3D7"/>
          </w:tcPr>
          <w:p w:rsidR="008066AF" w:rsidRPr="00BD150D" w:rsidRDefault="008066AF" w:rsidP="00312AB0">
            <w:pPr>
              <w:jc w:val="center"/>
              <w:rPr>
                <w:sz w:val="18"/>
                <w:szCs w:val="20"/>
              </w:rPr>
            </w:pPr>
            <w:r w:rsidRPr="00BD150D">
              <w:rPr>
                <w:sz w:val="18"/>
                <w:szCs w:val="20"/>
              </w:rPr>
              <w:t>Raci</w:t>
            </w:r>
          </w:p>
        </w:tc>
        <w:tc>
          <w:tcPr>
            <w:tcW w:w="2268" w:type="dxa"/>
            <w:shd w:val="clear" w:color="auto" w:fill="95B3D7"/>
          </w:tcPr>
          <w:p w:rsidR="008066AF" w:rsidRPr="00BD150D" w:rsidRDefault="008066AF" w:rsidP="00312AB0">
            <w:pPr>
              <w:jc w:val="center"/>
              <w:rPr>
                <w:sz w:val="18"/>
                <w:szCs w:val="20"/>
              </w:rPr>
            </w:pPr>
            <w:r w:rsidRPr="00BD150D">
              <w:rPr>
                <w:sz w:val="18"/>
                <w:szCs w:val="20"/>
              </w:rPr>
              <w:t>Jabatan Rs</w:t>
            </w:r>
          </w:p>
        </w:tc>
        <w:tc>
          <w:tcPr>
            <w:tcW w:w="2127" w:type="dxa"/>
            <w:shd w:val="clear" w:color="auto" w:fill="95B3D7"/>
          </w:tcPr>
          <w:p w:rsidR="008066AF" w:rsidRPr="00BD150D" w:rsidRDefault="008066AF" w:rsidP="00312AB0">
            <w:pPr>
              <w:jc w:val="center"/>
              <w:rPr>
                <w:sz w:val="18"/>
                <w:szCs w:val="20"/>
              </w:rPr>
            </w:pPr>
            <w:r w:rsidRPr="00BD150D">
              <w:rPr>
                <w:sz w:val="18"/>
                <w:szCs w:val="20"/>
              </w:rPr>
              <w:t>Jumlah</w:t>
            </w:r>
          </w:p>
        </w:tc>
      </w:tr>
      <w:tr w:rsidR="008066AF" w:rsidRPr="00BD150D" w:rsidTr="00180A12">
        <w:tc>
          <w:tcPr>
            <w:tcW w:w="2126" w:type="dxa"/>
          </w:tcPr>
          <w:p w:rsidR="008066AF" w:rsidRPr="00BD150D" w:rsidRDefault="008066AF" w:rsidP="00312AB0">
            <w:pPr>
              <w:jc w:val="center"/>
              <w:rPr>
                <w:sz w:val="18"/>
                <w:szCs w:val="20"/>
              </w:rPr>
            </w:pPr>
            <w:r w:rsidRPr="00BD150D">
              <w:rPr>
                <w:sz w:val="18"/>
                <w:szCs w:val="20"/>
              </w:rPr>
              <w:t>CEO</w:t>
            </w:r>
          </w:p>
        </w:tc>
        <w:tc>
          <w:tcPr>
            <w:tcW w:w="2268" w:type="dxa"/>
          </w:tcPr>
          <w:p w:rsidR="008066AF" w:rsidRPr="00BD150D" w:rsidRDefault="008066AF" w:rsidP="00312AB0">
            <w:pPr>
              <w:jc w:val="center"/>
              <w:rPr>
                <w:sz w:val="18"/>
                <w:szCs w:val="20"/>
              </w:rPr>
            </w:pPr>
            <w:r w:rsidRPr="00BD150D">
              <w:rPr>
                <w:sz w:val="18"/>
                <w:szCs w:val="20"/>
              </w:rPr>
              <w:t>Dirut</w:t>
            </w:r>
          </w:p>
        </w:tc>
        <w:tc>
          <w:tcPr>
            <w:tcW w:w="2127" w:type="dxa"/>
          </w:tcPr>
          <w:p w:rsidR="008066AF" w:rsidRPr="00BD150D" w:rsidRDefault="008066AF" w:rsidP="00312AB0">
            <w:pPr>
              <w:jc w:val="center"/>
              <w:rPr>
                <w:sz w:val="18"/>
                <w:szCs w:val="20"/>
              </w:rPr>
            </w:pPr>
            <w:r w:rsidRPr="00BD150D">
              <w:rPr>
                <w:sz w:val="18"/>
                <w:szCs w:val="20"/>
              </w:rPr>
              <w:t>1</w:t>
            </w:r>
          </w:p>
        </w:tc>
      </w:tr>
      <w:tr w:rsidR="008066AF" w:rsidRPr="00BD150D" w:rsidTr="00180A12">
        <w:tc>
          <w:tcPr>
            <w:tcW w:w="2126" w:type="dxa"/>
          </w:tcPr>
          <w:p w:rsidR="008066AF" w:rsidRPr="00BD150D" w:rsidRDefault="008066AF" w:rsidP="00312AB0">
            <w:pPr>
              <w:jc w:val="center"/>
              <w:rPr>
                <w:sz w:val="18"/>
                <w:szCs w:val="20"/>
              </w:rPr>
            </w:pPr>
            <w:r w:rsidRPr="00BD150D">
              <w:rPr>
                <w:sz w:val="18"/>
                <w:szCs w:val="20"/>
              </w:rPr>
              <w:t>CIO</w:t>
            </w:r>
          </w:p>
        </w:tc>
        <w:tc>
          <w:tcPr>
            <w:tcW w:w="2268" w:type="dxa"/>
          </w:tcPr>
          <w:p w:rsidR="008066AF" w:rsidRPr="00BD150D" w:rsidRDefault="008066AF" w:rsidP="00312AB0">
            <w:pPr>
              <w:jc w:val="center"/>
              <w:rPr>
                <w:sz w:val="18"/>
                <w:szCs w:val="20"/>
              </w:rPr>
            </w:pPr>
            <w:r w:rsidRPr="00BD150D">
              <w:rPr>
                <w:sz w:val="18"/>
                <w:szCs w:val="20"/>
              </w:rPr>
              <w:t>Ka</w:t>
            </w:r>
            <w:r w:rsidRPr="00BD150D">
              <w:rPr>
                <w:sz w:val="18"/>
                <w:szCs w:val="20"/>
                <w:lang w:val="id-ID"/>
              </w:rPr>
              <w:t>bag.</w:t>
            </w:r>
            <w:r w:rsidRPr="00BD150D">
              <w:rPr>
                <w:sz w:val="18"/>
                <w:szCs w:val="20"/>
              </w:rPr>
              <w:t xml:space="preserve"> Umum</w:t>
            </w:r>
          </w:p>
        </w:tc>
        <w:tc>
          <w:tcPr>
            <w:tcW w:w="2127" w:type="dxa"/>
          </w:tcPr>
          <w:p w:rsidR="008066AF" w:rsidRPr="00BD150D" w:rsidRDefault="008066AF" w:rsidP="00312AB0">
            <w:pPr>
              <w:jc w:val="center"/>
              <w:rPr>
                <w:sz w:val="18"/>
                <w:szCs w:val="20"/>
              </w:rPr>
            </w:pPr>
            <w:r w:rsidRPr="00BD150D">
              <w:rPr>
                <w:sz w:val="18"/>
                <w:szCs w:val="20"/>
              </w:rPr>
              <w:t>2</w:t>
            </w:r>
          </w:p>
        </w:tc>
      </w:tr>
      <w:tr w:rsidR="008066AF" w:rsidRPr="00BD150D" w:rsidTr="00180A12">
        <w:tc>
          <w:tcPr>
            <w:tcW w:w="2126" w:type="dxa"/>
          </w:tcPr>
          <w:p w:rsidR="008066AF" w:rsidRPr="00BD150D" w:rsidRDefault="008066AF" w:rsidP="00312AB0">
            <w:pPr>
              <w:jc w:val="center"/>
              <w:rPr>
                <w:sz w:val="18"/>
                <w:szCs w:val="20"/>
              </w:rPr>
            </w:pPr>
            <w:r w:rsidRPr="00BD150D">
              <w:rPr>
                <w:sz w:val="18"/>
                <w:szCs w:val="20"/>
              </w:rPr>
              <w:t>CFO</w:t>
            </w:r>
          </w:p>
        </w:tc>
        <w:tc>
          <w:tcPr>
            <w:tcW w:w="2268" w:type="dxa"/>
          </w:tcPr>
          <w:p w:rsidR="008066AF" w:rsidRPr="00BD150D" w:rsidRDefault="008066AF" w:rsidP="00312AB0">
            <w:pPr>
              <w:jc w:val="center"/>
              <w:rPr>
                <w:sz w:val="18"/>
                <w:szCs w:val="20"/>
              </w:rPr>
            </w:pPr>
            <w:r w:rsidRPr="00BD150D">
              <w:rPr>
                <w:sz w:val="18"/>
                <w:szCs w:val="20"/>
              </w:rPr>
              <w:t>Ka</w:t>
            </w:r>
            <w:r w:rsidRPr="00BD150D">
              <w:rPr>
                <w:sz w:val="18"/>
                <w:szCs w:val="20"/>
                <w:lang w:val="id-ID"/>
              </w:rPr>
              <w:t>bag.</w:t>
            </w:r>
            <w:r w:rsidRPr="00BD150D">
              <w:rPr>
                <w:sz w:val="18"/>
                <w:szCs w:val="20"/>
              </w:rPr>
              <w:t xml:space="preserve"> </w:t>
            </w:r>
            <w:r w:rsidRPr="00BD150D">
              <w:rPr>
                <w:sz w:val="18"/>
                <w:szCs w:val="20"/>
                <w:lang w:val="id-ID"/>
              </w:rPr>
              <w:t>Ke</w:t>
            </w:r>
            <w:r w:rsidRPr="00BD150D">
              <w:rPr>
                <w:sz w:val="18"/>
                <w:szCs w:val="20"/>
              </w:rPr>
              <w:t xml:space="preserve">uangan </w:t>
            </w:r>
          </w:p>
        </w:tc>
        <w:tc>
          <w:tcPr>
            <w:tcW w:w="2127" w:type="dxa"/>
          </w:tcPr>
          <w:p w:rsidR="008066AF" w:rsidRPr="00BD150D" w:rsidRDefault="008066AF" w:rsidP="00312AB0">
            <w:pPr>
              <w:jc w:val="center"/>
              <w:rPr>
                <w:sz w:val="18"/>
                <w:szCs w:val="20"/>
              </w:rPr>
            </w:pPr>
            <w:r w:rsidRPr="00BD150D">
              <w:rPr>
                <w:sz w:val="18"/>
                <w:szCs w:val="20"/>
              </w:rPr>
              <w:t>4</w:t>
            </w:r>
          </w:p>
        </w:tc>
      </w:tr>
      <w:tr w:rsidR="008066AF" w:rsidRPr="00BD150D" w:rsidTr="00180A12">
        <w:tc>
          <w:tcPr>
            <w:tcW w:w="2126" w:type="dxa"/>
          </w:tcPr>
          <w:p w:rsidR="008066AF" w:rsidRPr="00BD150D" w:rsidRDefault="008066AF" w:rsidP="00312AB0">
            <w:pPr>
              <w:jc w:val="center"/>
              <w:rPr>
                <w:sz w:val="18"/>
                <w:szCs w:val="20"/>
              </w:rPr>
            </w:pPr>
            <w:r w:rsidRPr="00BD150D">
              <w:rPr>
                <w:sz w:val="18"/>
                <w:szCs w:val="20"/>
              </w:rPr>
              <w:t>Head IT operation</w:t>
            </w:r>
          </w:p>
        </w:tc>
        <w:tc>
          <w:tcPr>
            <w:tcW w:w="2268" w:type="dxa"/>
          </w:tcPr>
          <w:p w:rsidR="008066AF" w:rsidRPr="00BD150D" w:rsidRDefault="008066AF" w:rsidP="00312AB0">
            <w:pPr>
              <w:jc w:val="center"/>
              <w:rPr>
                <w:sz w:val="18"/>
                <w:szCs w:val="20"/>
              </w:rPr>
            </w:pPr>
            <w:r w:rsidRPr="00BD150D">
              <w:rPr>
                <w:sz w:val="18"/>
                <w:szCs w:val="20"/>
              </w:rPr>
              <w:t>Ka.instalasi EDP</w:t>
            </w:r>
          </w:p>
        </w:tc>
        <w:tc>
          <w:tcPr>
            <w:tcW w:w="2127" w:type="dxa"/>
          </w:tcPr>
          <w:p w:rsidR="008066AF" w:rsidRPr="00BD150D" w:rsidRDefault="008066AF" w:rsidP="00312AB0">
            <w:pPr>
              <w:jc w:val="center"/>
              <w:rPr>
                <w:sz w:val="18"/>
                <w:szCs w:val="20"/>
              </w:rPr>
            </w:pPr>
            <w:r w:rsidRPr="00BD150D">
              <w:rPr>
                <w:sz w:val="18"/>
                <w:szCs w:val="20"/>
              </w:rPr>
              <w:t>1</w:t>
            </w:r>
          </w:p>
        </w:tc>
      </w:tr>
      <w:tr w:rsidR="008066AF" w:rsidRPr="00BD150D" w:rsidTr="00180A12">
        <w:tc>
          <w:tcPr>
            <w:tcW w:w="2126" w:type="dxa"/>
          </w:tcPr>
          <w:p w:rsidR="008066AF" w:rsidRPr="00BD150D" w:rsidRDefault="008066AF" w:rsidP="00312AB0">
            <w:pPr>
              <w:jc w:val="center"/>
              <w:rPr>
                <w:sz w:val="18"/>
                <w:szCs w:val="20"/>
              </w:rPr>
            </w:pPr>
            <w:r w:rsidRPr="00BD150D">
              <w:rPr>
                <w:sz w:val="18"/>
                <w:szCs w:val="20"/>
              </w:rPr>
              <w:t>HITA</w:t>
            </w:r>
          </w:p>
        </w:tc>
        <w:tc>
          <w:tcPr>
            <w:tcW w:w="2268" w:type="dxa"/>
          </w:tcPr>
          <w:p w:rsidR="008066AF" w:rsidRPr="00BD150D" w:rsidRDefault="008066AF" w:rsidP="00312AB0">
            <w:pPr>
              <w:jc w:val="center"/>
              <w:rPr>
                <w:sz w:val="18"/>
                <w:szCs w:val="20"/>
              </w:rPr>
            </w:pPr>
            <w:r w:rsidRPr="00BD150D">
              <w:rPr>
                <w:sz w:val="18"/>
                <w:szCs w:val="20"/>
              </w:rPr>
              <w:t>S</w:t>
            </w:r>
            <w:r w:rsidRPr="00BD150D">
              <w:rPr>
                <w:sz w:val="18"/>
                <w:szCs w:val="20"/>
                <w:lang w:val="id-ID"/>
              </w:rPr>
              <w:t>e</w:t>
            </w:r>
            <w:r w:rsidRPr="00BD150D">
              <w:rPr>
                <w:sz w:val="18"/>
                <w:szCs w:val="20"/>
              </w:rPr>
              <w:t>k</w:t>
            </w:r>
            <w:r w:rsidRPr="00BD150D">
              <w:rPr>
                <w:sz w:val="18"/>
                <w:szCs w:val="20"/>
                <w:lang w:val="id-ID"/>
              </w:rPr>
              <w:t>r</w:t>
            </w:r>
            <w:r w:rsidRPr="00BD150D">
              <w:rPr>
                <w:sz w:val="18"/>
                <w:szCs w:val="20"/>
              </w:rPr>
              <w:t>etaris</w:t>
            </w:r>
          </w:p>
        </w:tc>
        <w:tc>
          <w:tcPr>
            <w:tcW w:w="2127" w:type="dxa"/>
          </w:tcPr>
          <w:p w:rsidR="008066AF" w:rsidRPr="00BD150D" w:rsidRDefault="008066AF" w:rsidP="00312AB0">
            <w:pPr>
              <w:jc w:val="center"/>
              <w:rPr>
                <w:sz w:val="18"/>
                <w:szCs w:val="20"/>
              </w:rPr>
            </w:pPr>
            <w:r w:rsidRPr="00BD150D">
              <w:rPr>
                <w:sz w:val="18"/>
                <w:szCs w:val="20"/>
              </w:rPr>
              <w:t>1</w:t>
            </w:r>
          </w:p>
        </w:tc>
      </w:tr>
      <w:tr w:rsidR="008066AF" w:rsidRPr="00BD150D" w:rsidTr="00180A12">
        <w:tc>
          <w:tcPr>
            <w:tcW w:w="2126" w:type="dxa"/>
          </w:tcPr>
          <w:p w:rsidR="008066AF" w:rsidRPr="00BD150D" w:rsidRDefault="008066AF" w:rsidP="00312AB0">
            <w:pPr>
              <w:jc w:val="center"/>
              <w:rPr>
                <w:sz w:val="18"/>
                <w:szCs w:val="20"/>
              </w:rPr>
            </w:pPr>
            <w:r w:rsidRPr="00BD150D">
              <w:rPr>
                <w:sz w:val="18"/>
                <w:szCs w:val="20"/>
              </w:rPr>
              <w:t>Audit</w:t>
            </w:r>
          </w:p>
        </w:tc>
        <w:tc>
          <w:tcPr>
            <w:tcW w:w="2268" w:type="dxa"/>
          </w:tcPr>
          <w:p w:rsidR="008066AF" w:rsidRPr="00BD150D" w:rsidRDefault="008066AF" w:rsidP="00312AB0">
            <w:pPr>
              <w:jc w:val="center"/>
              <w:rPr>
                <w:sz w:val="18"/>
                <w:szCs w:val="20"/>
              </w:rPr>
            </w:pPr>
            <w:r w:rsidRPr="00BD150D">
              <w:rPr>
                <w:sz w:val="18"/>
                <w:szCs w:val="20"/>
              </w:rPr>
              <w:t>Ka</w:t>
            </w:r>
            <w:r w:rsidRPr="00BD150D">
              <w:rPr>
                <w:sz w:val="18"/>
                <w:szCs w:val="20"/>
                <w:lang w:val="id-ID"/>
              </w:rPr>
              <w:t>subag</w:t>
            </w:r>
            <w:r w:rsidRPr="00BD150D">
              <w:rPr>
                <w:sz w:val="18"/>
                <w:szCs w:val="20"/>
              </w:rPr>
              <w:t xml:space="preserve"> Diklat</w:t>
            </w:r>
          </w:p>
        </w:tc>
        <w:tc>
          <w:tcPr>
            <w:tcW w:w="2127" w:type="dxa"/>
          </w:tcPr>
          <w:p w:rsidR="008066AF" w:rsidRPr="00BD150D" w:rsidRDefault="008066AF" w:rsidP="00312AB0">
            <w:pPr>
              <w:jc w:val="center"/>
              <w:rPr>
                <w:sz w:val="18"/>
                <w:szCs w:val="20"/>
              </w:rPr>
            </w:pPr>
            <w:r w:rsidRPr="00BD150D">
              <w:rPr>
                <w:sz w:val="18"/>
                <w:szCs w:val="20"/>
              </w:rPr>
              <w:t>2</w:t>
            </w:r>
          </w:p>
        </w:tc>
      </w:tr>
      <w:tr w:rsidR="008066AF" w:rsidRPr="00BD150D" w:rsidTr="00180A12">
        <w:tc>
          <w:tcPr>
            <w:tcW w:w="2126" w:type="dxa"/>
          </w:tcPr>
          <w:p w:rsidR="008066AF" w:rsidRPr="00BD150D" w:rsidRDefault="008066AF" w:rsidP="00312AB0">
            <w:pPr>
              <w:jc w:val="center"/>
              <w:rPr>
                <w:sz w:val="18"/>
                <w:szCs w:val="20"/>
              </w:rPr>
            </w:pPr>
            <w:r w:rsidRPr="00BD150D">
              <w:rPr>
                <w:sz w:val="18"/>
                <w:szCs w:val="20"/>
              </w:rPr>
              <w:t>Ha</w:t>
            </w:r>
          </w:p>
        </w:tc>
        <w:tc>
          <w:tcPr>
            <w:tcW w:w="2268" w:type="dxa"/>
          </w:tcPr>
          <w:p w:rsidR="008066AF" w:rsidRPr="00BD150D" w:rsidRDefault="008066AF" w:rsidP="00312AB0">
            <w:pPr>
              <w:jc w:val="center"/>
              <w:rPr>
                <w:sz w:val="18"/>
                <w:szCs w:val="20"/>
              </w:rPr>
            </w:pPr>
            <w:r w:rsidRPr="00BD150D">
              <w:rPr>
                <w:sz w:val="18"/>
                <w:szCs w:val="20"/>
              </w:rPr>
              <w:t>Ka</w:t>
            </w:r>
            <w:r w:rsidRPr="00BD150D">
              <w:rPr>
                <w:sz w:val="18"/>
                <w:szCs w:val="20"/>
                <w:lang w:val="id-ID"/>
              </w:rPr>
              <w:t>subag</w:t>
            </w:r>
            <w:r w:rsidRPr="00BD150D">
              <w:rPr>
                <w:sz w:val="18"/>
                <w:szCs w:val="20"/>
              </w:rPr>
              <w:t xml:space="preserve"> SDM</w:t>
            </w:r>
          </w:p>
        </w:tc>
        <w:tc>
          <w:tcPr>
            <w:tcW w:w="2127" w:type="dxa"/>
          </w:tcPr>
          <w:p w:rsidR="008066AF" w:rsidRPr="00BD150D" w:rsidRDefault="008066AF" w:rsidP="00312AB0">
            <w:pPr>
              <w:jc w:val="center"/>
              <w:rPr>
                <w:sz w:val="18"/>
                <w:szCs w:val="20"/>
              </w:rPr>
            </w:pPr>
            <w:r w:rsidRPr="00BD150D">
              <w:rPr>
                <w:sz w:val="18"/>
                <w:szCs w:val="20"/>
              </w:rPr>
              <w:t>2</w:t>
            </w:r>
          </w:p>
        </w:tc>
      </w:tr>
      <w:tr w:rsidR="008066AF" w:rsidRPr="00BD150D" w:rsidTr="00180A12">
        <w:tc>
          <w:tcPr>
            <w:tcW w:w="2126" w:type="dxa"/>
          </w:tcPr>
          <w:p w:rsidR="008066AF" w:rsidRPr="00BD150D" w:rsidRDefault="008066AF" w:rsidP="00312AB0">
            <w:pPr>
              <w:jc w:val="center"/>
              <w:rPr>
                <w:sz w:val="18"/>
                <w:szCs w:val="20"/>
                <w:lang w:val="id-ID"/>
              </w:rPr>
            </w:pPr>
            <w:r w:rsidRPr="00BD150D">
              <w:rPr>
                <w:sz w:val="18"/>
                <w:szCs w:val="20"/>
                <w:lang w:val="id-ID"/>
              </w:rPr>
              <w:t>End user</w:t>
            </w:r>
          </w:p>
        </w:tc>
        <w:tc>
          <w:tcPr>
            <w:tcW w:w="2268" w:type="dxa"/>
          </w:tcPr>
          <w:p w:rsidR="008066AF" w:rsidRPr="00BD150D" w:rsidRDefault="008066AF" w:rsidP="00312AB0">
            <w:pPr>
              <w:jc w:val="center"/>
              <w:rPr>
                <w:sz w:val="18"/>
                <w:szCs w:val="20"/>
                <w:lang w:val="id-ID"/>
              </w:rPr>
            </w:pPr>
            <w:r w:rsidRPr="00BD150D">
              <w:rPr>
                <w:sz w:val="18"/>
                <w:szCs w:val="20"/>
                <w:lang w:val="id-ID"/>
              </w:rPr>
              <w:t>Staff</w:t>
            </w:r>
          </w:p>
        </w:tc>
        <w:tc>
          <w:tcPr>
            <w:tcW w:w="2127" w:type="dxa"/>
          </w:tcPr>
          <w:p w:rsidR="008066AF" w:rsidRPr="00BD150D" w:rsidRDefault="008066AF" w:rsidP="00312AB0">
            <w:pPr>
              <w:jc w:val="center"/>
              <w:rPr>
                <w:sz w:val="18"/>
                <w:szCs w:val="20"/>
                <w:lang w:val="id-ID"/>
              </w:rPr>
            </w:pPr>
            <w:r w:rsidRPr="00BD150D">
              <w:rPr>
                <w:sz w:val="18"/>
                <w:szCs w:val="20"/>
                <w:lang w:val="id-ID"/>
              </w:rPr>
              <w:t>27</w:t>
            </w:r>
          </w:p>
        </w:tc>
      </w:tr>
      <w:tr w:rsidR="008066AF" w:rsidRPr="00BD150D" w:rsidTr="00180A12">
        <w:tc>
          <w:tcPr>
            <w:tcW w:w="2126" w:type="dxa"/>
          </w:tcPr>
          <w:p w:rsidR="008066AF" w:rsidRPr="00BD150D" w:rsidRDefault="008066AF" w:rsidP="00312AB0">
            <w:pPr>
              <w:jc w:val="center"/>
              <w:rPr>
                <w:sz w:val="18"/>
                <w:szCs w:val="20"/>
              </w:rPr>
            </w:pPr>
          </w:p>
        </w:tc>
        <w:tc>
          <w:tcPr>
            <w:tcW w:w="2268" w:type="dxa"/>
          </w:tcPr>
          <w:p w:rsidR="008066AF" w:rsidRPr="00BD150D" w:rsidRDefault="008066AF" w:rsidP="00312AB0">
            <w:pPr>
              <w:jc w:val="center"/>
              <w:rPr>
                <w:sz w:val="18"/>
                <w:szCs w:val="20"/>
              </w:rPr>
            </w:pPr>
            <w:r w:rsidRPr="00BD150D">
              <w:rPr>
                <w:sz w:val="18"/>
                <w:szCs w:val="20"/>
              </w:rPr>
              <w:t>Total</w:t>
            </w:r>
          </w:p>
        </w:tc>
        <w:tc>
          <w:tcPr>
            <w:tcW w:w="2127" w:type="dxa"/>
          </w:tcPr>
          <w:p w:rsidR="008066AF" w:rsidRPr="00BD150D" w:rsidRDefault="008066AF" w:rsidP="00312AB0">
            <w:pPr>
              <w:jc w:val="center"/>
              <w:rPr>
                <w:sz w:val="18"/>
                <w:szCs w:val="20"/>
                <w:lang w:val="id-ID"/>
              </w:rPr>
            </w:pPr>
            <w:r w:rsidRPr="00BD150D">
              <w:rPr>
                <w:sz w:val="18"/>
                <w:szCs w:val="20"/>
                <w:lang w:val="id-ID"/>
              </w:rPr>
              <w:t>40</w:t>
            </w:r>
          </w:p>
        </w:tc>
      </w:tr>
    </w:tbl>
    <w:p w:rsidR="008066AF" w:rsidRPr="008066AF" w:rsidRDefault="008066AF" w:rsidP="00312AB0">
      <w:pPr>
        <w:ind w:firstLine="284"/>
        <w:jc w:val="both"/>
        <w:rPr>
          <w:rFonts w:eastAsia="Times New Roman"/>
          <w:sz w:val="20"/>
          <w:szCs w:val="20"/>
        </w:rPr>
      </w:pPr>
      <w:r w:rsidRPr="008066AF">
        <w:rPr>
          <w:sz w:val="20"/>
          <w:szCs w:val="20"/>
        </w:rPr>
        <w:t>Keseluruhan responden akan mendapatkan perlakuan yang sama dalam pengisian data kuesioner sebelum nantinya akan diolah dalam analisis data. Kuesioner akan dilengkapi dengan penjelasan tertentu agar setiap responden memahami maksud dari kuesioner tersebut.</w:t>
      </w:r>
    </w:p>
    <w:p w:rsidR="00BD150D" w:rsidRDefault="00BD150D" w:rsidP="00312AB0">
      <w:pPr>
        <w:rPr>
          <w:b/>
          <w:sz w:val="20"/>
          <w:szCs w:val="20"/>
          <w:lang w:val="id-ID"/>
        </w:rPr>
      </w:pPr>
    </w:p>
    <w:p w:rsidR="008066AF" w:rsidRPr="008066AF" w:rsidRDefault="00BD150D" w:rsidP="00312AB0">
      <w:pPr>
        <w:rPr>
          <w:b/>
          <w:sz w:val="20"/>
          <w:szCs w:val="20"/>
          <w:lang w:val="id-ID"/>
        </w:rPr>
      </w:pPr>
      <w:r>
        <w:rPr>
          <w:b/>
          <w:sz w:val="20"/>
          <w:szCs w:val="20"/>
          <w:lang w:val="id-ID"/>
        </w:rPr>
        <w:t>B.</w:t>
      </w:r>
      <w:r w:rsidR="008066AF" w:rsidRPr="008066AF">
        <w:rPr>
          <w:b/>
          <w:sz w:val="20"/>
          <w:szCs w:val="20"/>
          <w:lang w:val="id-ID"/>
        </w:rPr>
        <w:t xml:space="preserve"> Kondisi Saat Ini</w:t>
      </w:r>
    </w:p>
    <w:p w:rsidR="008066AF" w:rsidRPr="008066AF" w:rsidRDefault="008066AF" w:rsidP="00312AB0">
      <w:pPr>
        <w:tabs>
          <w:tab w:val="left" w:pos="284"/>
        </w:tabs>
        <w:jc w:val="both"/>
        <w:rPr>
          <w:sz w:val="20"/>
          <w:szCs w:val="20"/>
          <w:lang w:val="id-ID"/>
        </w:rPr>
      </w:pPr>
      <w:r w:rsidRPr="008066AF">
        <w:rPr>
          <w:sz w:val="20"/>
          <w:szCs w:val="20"/>
          <w:lang w:val="id-ID"/>
        </w:rPr>
        <w:tab/>
        <w:t>Tingkat kematangan tatakelola TI (IT governance maturity level) secara umum saat ini sebesar 2,14 atau berada pada level 2 yang berarti telah terencana namun belum memiliki pedoman dan SOP yang telah dibakukan. Proses yang memiliki tingkat kematangan tatakelola tertinggi adalah proses EDM01, dan tingkat kematangan tatakelola terendah dicapai oleh proses EDM03 sebesar 2,00. Pada proses EDM01 sebanyak 50% responden menilai bahwa sudah ada perencanaan terhadap</w:t>
      </w:r>
      <w:r w:rsidRPr="008066AF">
        <w:rPr>
          <w:sz w:val="20"/>
          <w:szCs w:val="20"/>
        </w:rPr>
        <w:t xml:space="preserve"> pengaturan dan pemeliharaan </w:t>
      </w:r>
      <w:r w:rsidRPr="008066AF">
        <w:rPr>
          <w:sz w:val="20"/>
          <w:szCs w:val="20"/>
          <w:lang w:val="id-ID"/>
        </w:rPr>
        <w:t xml:space="preserve">TI namun belum ada aturan yang baku secara menyeluruh karena hanya sebagian saja yaitu sekitar 20%. Sedangkan untuk proses EDM03 yang berarti bahwa sudah ada perencanaan terhadap </w:t>
      </w:r>
      <w:r w:rsidRPr="008066AF">
        <w:rPr>
          <w:sz w:val="20"/>
          <w:szCs w:val="20"/>
        </w:rPr>
        <w:t>risiko yang bisa diterima di RS dan toleransinya sudah dimengerti</w:t>
      </w:r>
      <w:r w:rsidRPr="008066AF">
        <w:rPr>
          <w:sz w:val="20"/>
          <w:szCs w:val="20"/>
          <w:lang w:val="id-ID"/>
        </w:rPr>
        <w:t xml:space="preserve"> terhadap penggunaan TIK dalam aktivitas rumah sakit, namun belum mencapai 50% dari seluruh aktivitasnya. Masih cukup banyak aktivitas yang bersifat insidentil dan sporadis. </w:t>
      </w:r>
    </w:p>
    <w:p w:rsidR="00526CE3" w:rsidRDefault="00526CE3" w:rsidP="00312AB0">
      <w:pPr>
        <w:spacing w:after="120"/>
        <w:jc w:val="center"/>
        <w:rPr>
          <w:sz w:val="18"/>
          <w:szCs w:val="20"/>
          <w:lang w:val="id-ID"/>
        </w:rPr>
      </w:pPr>
    </w:p>
    <w:p w:rsidR="008066AF" w:rsidRPr="00BD150D" w:rsidRDefault="00380FE4" w:rsidP="00312AB0">
      <w:pPr>
        <w:spacing w:after="120"/>
        <w:jc w:val="center"/>
        <w:rPr>
          <w:sz w:val="18"/>
          <w:szCs w:val="20"/>
          <w:lang w:val="id-ID"/>
        </w:rPr>
      </w:pPr>
      <w:r>
        <w:rPr>
          <w:sz w:val="18"/>
          <w:szCs w:val="20"/>
          <w:lang w:val="id-ID"/>
        </w:rPr>
        <w:t xml:space="preserve">Tabel </w:t>
      </w:r>
      <w:r w:rsidR="008066AF" w:rsidRPr="00BD150D">
        <w:rPr>
          <w:sz w:val="18"/>
          <w:szCs w:val="20"/>
          <w:lang w:val="id-ID"/>
        </w:rPr>
        <w:t>2 Kematangan tatakelola TI saat ini</w:t>
      </w:r>
    </w:p>
    <w:tbl>
      <w:tblPr>
        <w:tblW w:w="4720" w:type="dxa"/>
        <w:jc w:val="center"/>
        <w:tblLook w:val="04A0"/>
      </w:tblPr>
      <w:tblGrid>
        <w:gridCol w:w="2420"/>
        <w:gridCol w:w="2300"/>
      </w:tblGrid>
      <w:tr w:rsidR="008066AF" w:rsidRPr="00BD150D" w:rsidTr="00BD150D">
        <w:trPr>
          <w:trHeight w:val="20"/>
          <w:jc w:val="center"/>
        </w:trPr>
        <w:tc>
          <w:tcPr>
            <w:tcW w:w="2420" w:type="dxa"/>
            <w:tcBorders>
              <w:top w:val="single" w:sz="8" w:space="0" w:color="auto"/>
              <w:left w:val="single" w:sz="8" w:space="0" w:color="auto"/>
              <w:bottom w:val="single" w:sz="8" w:space="0" w:color="auto"/>
              <w:right w:val="single" w:sz="8" w:space="0" w:color="auto"/>
            </w:tcBorders>
            <w:shd w:val="clear" w:color="000000" w:fill="000000"/>
            <w:vAlign w:val="bottom"/>
            <w:hideMark/>
          </w:tcPr>
          <w:p w:rsidR="008066AF" w:rsidRPr="00BD150D" w:rsidRDefault="008066AF" w:rsidP="00312AB0">
            <w:pPr>
              <w:jc w:val="center"/>
              <w:rPr>
                <w:rFonts w:eastAsia="Times New Roman"/>
                <w:color w:val="FFFFFF"/>
                <w:sz w:val="18"/>
                <w:szCs w:val="20"/>
                <w:lang w:val="id-ID" w:eastAsia="id-ID"/>
              </w:rPr>
            </w:pPr>
            <w:r w:rsidRPr="00BD150D">
              <w:rPr>
                <w:rFonts w:eastAsia="Times New Roman"/>
                <w:color w:val="FFFFFF"/>
                <w:sz w:val="18"/>
                <w:szCs w:val="20"/>
                <w:lang w:val="id-ID" w:eastAsia="id-ID"/>
              </w:rPr>
              <w:t>D</w:t>
            </w:r>
            <w:r w:rsidRPr="00BD150D">
              <w:rPr>
                <w:rFonts w:eastAsia="Times New Roman"/>
                <w:color w:val="FFFFFF"/>
                <w:sz w:val="18"/>
                <w:szCs w:val="20"/>
                <w:lang w:eastAsia="id-ID"/>
              </w:rPr>
              <w:t xml:space="preserve">omain </w:t>
            </w:r>
            <w:r w:rsidRPr="00BD150D">
              <w:rPr>
                <w:rFonts w:eastAsia="Times New Roman"/>
                <w:color w:val="FFFFFF"/>
                <w:sz w:val="18"/>
                <w:szCs w:val="20"/>
                <w:lang w:val="id-ID" w:eastAsia="id-ID"/>
              </w:rPr>
              <w:t>P</w:t>
            </w:r>
            <w:r w:rsidRPr="00BD150D">
              <w:rPr>
                <w:rFonts w:eastAsia="Times New Roman"/>
                <w:color w:val="FFFFFF"/>
                <w:sz w:val="18"/>
                <w:szCs w:val="20"/>
                <w:lang w:eastAsia="id-ID"/>
              </w:rPr>
              <w:t>roses</w:t>
            </w:r>
          </w:p>
        </w:tc>
        <w:tc>
          <w:tcPr>
            <w:tcW w:w="2300" w:type="dxa"/>
            <w:tcBorders>
              <w:top w:val="single" w:sz="8" w:space="0" w:color="auto"/>
              <w:left w:val="nil"/>
              <w:bottom w:val="single" w:sz="8" w:space="0" w:color="auto"/>
              <w:right w:val="single" w:sz="8" w:space="0" w:color="auto"/>
            </w:tcBorders>
            <w:shd w:val="clear" w:color="000000" w:fill="000000"/>
            <w:vAlign w:val="bottom"/>
            <w:hideMark/>
          </w:tcPr>
          <w:p w:rsidR="008066AF" w:rsidRPr="00BD150D" w:rsidRDefault="008066AF" w:rsidP="00312AB0">
            <w:pPr>
              <w:jc w:val="center"/>
              <w:rPr>
                <w:rFonts w:eastAsia="Times New Roman"/>
                <w:color w:val="FFFFFF"/>
                <w:sz w:val="18"/>
                <w:szCs w:val="20"/>
                <w:lang w:val="id-ID" w:eastAsia="id-ID"/>
              </w:rPr>
            </w:pPr>
            <w:r w:rsidRPr="00BD150D">
              <w:rPr>
                <w:rFonts w:eastAsia="Times New Roman"/>
                <w:color w:val="FFFFFF"/>
                <w:sz w:val="18"/>
                <w:szCs w:val="20"/>
                <w:lang w:val="id-ID" w:eastAsia="id-ID"/>
              </w:rPr>
              <w:t>R</w:t>
            </w:r>
            <w:r w:rsidRPr="00BD150D">
              <w:rPr>
                <w:rFonts w:eastAsia="Times New Roman"/>
                <w:color w:val="FFFFFF"/>
                <w:sz w:val="18"/>
                <w:szCs w:val="20"/>
                <w:lang w:eastAsia="id-ID"/>
              </w:rPr>
              <w:t>at</w:t>
            </w:r>
            <w:r w:rsidRPr="00BD150D">
              <w:rPr>
                <w:rFonts w:eastAsia="Times New Roman"/>
                <w:color w:val="FFFFFF"/>
                <w:sz w:val="18"/>
                <w:szCs w:val="20"/>
                <w:lang w:val="id-ID" w:eastAsia="id-ID"/>
              </w:rPr>
              <w:t>a</w:t>
            </w:r>
            <w:r w:rsidRPr="00BD150D">
              <w:rPr>
                <w:rFonts w:eastAsia="Times New Roman"/>
                <w:color w:val="FFFFFF"/>
                <w:sz w:val="18"/>
                <w:szCs w:val="20"/>
                <w:lang w:eastAsia="id-ID"/>
              </w:rPr>
              <w:t>-rata Proses</w:t>
            </w:r>
          </w:p>
        </w:tc>
      </w:tr>
      <w:tr w:rsidR="008066AF" w:rsidRPr="00BD150D" w:rsidTr="00BD150D">
        <w:trPr>
          <w:trHeight w:val="20"/>
          <w:jc w:val="center"/>
        </w:trPr>
        <w:tc>
          <w:tcPr>
            <w:tcW w:w="2420" w:type="dxa"/>
            <w:tcBorders>
              <w:top w:val="nil"/>
              <w:left w:val="single" w:sz="8" w:space="0" w:color="auto"/>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val="id-ID" w:eastAsia="id-ID"/>
              </w:rPr>
              <w:t>EDM</w:t>
            </w:r>
            <w:r w:rsidRPr="00BD150D">
              <w:rPr>
                <w:rFonts w:eastAsia="Times New Roman"/>
                <w:color w:val="000000"/>
                <w:sz w:val="18"/>
                <w:szCs w:val="20"/>
                <w:lang w:eastAsia="id-ID"/>
              </w:rPr>
              <w:t>01</w:t>
            </w:r>
          </w:p>
        </w:tc>
        <w:tc>
          <w:tcPr>
            <w:tcW w:w="2300" w:type="dxa"/>
            <w:tcBorders>
              <w:top w:val="nil"/>
              <w:left w:val="nil"/>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2,43</w:t>
            </w:r>
          </w:p>
        </w:tc>
      </w:tr>
      <w:tr w:rsidR="008066AF" w:rsidRPr="00BD150D" w:rsidTr="00BD150D">
        <w:trPr>
          <w:trHeight w:val="20"/>
          <w:jc w:val="center"/>
        </w:trPr>
        <w:tc>
          <w:tcPr>
            <w:tcW w:w="2420" w:type="dxa"/>
            <w:tcBorders>
              <w:top w:val="nil"/>
              <w:left w:val="single" w:sz="8" w:space="0" w:color="auto"/>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val="id-ID" w:eastAsia="id-ID"/>
              </w:rPr>
              <w:t>EDM</w:t>
            </w:r>
            <w:r w:rsidRPr="00BD150D">
              <w:rPr>
                <w:rFonts w:eastAsia="Times New Roman"/>
                <w:color w:val="000000"/>
                <w:sz w:val="18"/>
                <w:szCs w:val="20"/>
                <w:lang w:eastAsia="id-ID"/>
              </w:rPr>
              <w:t>02</w:t>
            </w:r>
          </w:p>
        </w:tc>
        <w:tc>
          <w:tcPr>
            <w:tcW w:w="2300" w:type="dxa"/>
            <w:tcBorders>
              <w:top w:val="nil"/>
              <w:left w:val="nil"/>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2,23</w:t>
            </w:r>
          </w:p>
        </w:tc>
      </w:tr>
      <w:tr w:rsidR="008066AF" w:rsidRPr="00BD150D" w:rsidTr="00BD150D">
        <w:trPr>
          <w:trHeight w:val="20"/>
          <w:jc w:val="center"/>
        </w:trPr>
        <w:tc>
          <w:tcPr>
            <w:tcW w:w="2420" w:type="dxa"/>
            <w:tcBorders>
              <w:top w:val="nil"/>
              <w:left w:val="single" w:sz="8" w:space="0" w:color="auto"/>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val="id-ID" w:eastAsia="id-ID"/>
              </w:rPr>
              <w:t>EDM</w:t>
            </w:r>
            <w:r w:rsidRPr="00BD150D">
              <w:rPr>
                <w:rFonts w:eastAsia="Times New Roman"/>
                <w:color w:val="000000"/>
                <w:sz w:val="18"/>
                <w:szCs w:val="20"/>
                <w:lang w:eastAsia="id-ID"/>
              </w:rPr>
              <w:t>03</w:t>
            </w:r>
          </w:p>
        </w:tc>
        <w:tc>
          <w:tcPr>
            <w:tcW w:w="2300" w:type="dxa"/>
            <w:tcBorders>
              <w:top w:val="nil"/>
              <w:left w:val="nil"/>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2,00</w:t>
            </w:r>
          </w:p>
        </w:tc>
      </w:tr>
      <w:tr w:rsidR="008066AF" w:rsidRPr="00BD150D" w:rsidTr="00BD150D">
        <w:trPr>
          <w:trHeight w:val="20"/>
          <w:jc w:val="center"/>
        </w:trPr>
        <w:tc>
          <w:tcPr>
            <w:tcW w:w="2420" w:type="dxa"/>
            <w:tcBorders>
              <w:top w:val="nil"/>
              <w:left w:val="single" w:sz="8" w:space="0" w:color="auto"/>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val="id-ID" w:eastAsia="id-ID"/>
              </w:rPr>
              <w:t>EDM</w:t>
            </w:r>
            <w:r w:rsidRPr="00BD150D">
              <w:rPr>
                <w:rFonts w:eastAsia="Times New Roman"/>
                <w:color w:val="000000"/>
                <w:sz w:val="18"/>
                <w:szCs w:val="20"/>
                <w:lang w:eastAsia="id-ID"/>
              </w:rPr>
              <w:t>04</w:t>
            </w:r>
          </w:p>
        </w:tc>
        <w:tc>
          <w:tcPr>
            <w:tcW w:w="2300" w:type="dxa"/>
            <w:tcBorders>
              <w:top w:val="nil"/>
              <w:left w:val="nil"/>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2,03</w:t>
            </w:r>
          </w:p>
        </w:tc>
      </w:tr>
      <w:tr w:rsidR="008066AF" w:rsidRPr="00BD150D" w:rsidTr="00BD150D">
        <w:trPr>
          <w:trHeight w:val="20"/>
          <w:jc w:val="center"/>
        </w:trPr>
        <w:tc>
          <w:tcPr>
            <w:tcW w:w="2420" w:type="dxa"/>
            <w:tcBorders>
              <w:top w:val="nil"/>
              <w:left w:val="single" w:sz="8" w:space="0" w:color="auto"/>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val="id-ID" w:eastAsia="id-ID"/>
              </w:rPr>
              <w:t>EDM</w:t>
            </w:r>
            <w:r w:rsidRPr="00BD150D">
              <w:rPr>
                <w:rFonts w:eastAsia="Times New Roman"/>
                <w:color w:val="000000"/>
                <w:sz w:val="18"/>
                <w:szCs w:val="20"/>
                <w:lang w:eastAsia="id-ID"/>
              </w:rPr>
              <w:t>05</w:t>
            </w:r>
          </w:p>
        </w:tc>
        <w:tc>
          <w:tcPr>
            <w:tcW w:w="2300" w:type="dxa"/>
            <w:tcBorders>
              <w:top w:val="nil"/>
              <w:left w:val="nil"/>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2,025</w:t>
            </w:r>
          </w:p>
        </w:tc>
      </w:tr>
      <w:tr w:rsidR="008066AF" w:rsidRPr="00BD150D" w:rsidTr="00BD150D">
        <w:trPr>
          <w:trHeight w:val="20"/>
          <w:jc w:val="center"/>
        </w:trPr>
        <w:tc>
          <w:tcPr>
            <w:tcW w:w="2420" w:type="dxa"/>
            <w:tcBorders>
              <w:top w:val="nil"/>
              <w:left w:val="single" w:sz="8" w:space="0" w:color="auto"/>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Total</w:t>
            </w:r>
          </w:p>
        </w:tc>
        <w:tc>
          <w:tcPr>
            <w:tcW w:w="2300" w:type="dxa"/>
            <w:tcBorders>
              <w:top w:val="nil"/>
              <w:left w:val="nil"/>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10,70</w:t>
            </w:r>
          </w:p>
        </w:tc>
      </w:tr>
      <w:tr w:rsidR="008066AF" w:rsidRPr="00BD150D" w:rsidTr="00BD150D">
        <w:trPr>
          <w:trHeight w:val="20"/>
          <w:jc w:val="center"/>
        </w:trPr>
        <w:tc>
          <w:tcPr>
            <w:tcW w:w="2420" w:type="dxa"/>
            <w:tcBorders>
              <w:top w:val="nil"/>
              <w:left w:val="single" w:sz="8" w:space="0" w:color="auto"/>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b/>
                <w:color w:val="000000"/>
                <w:sz w:val="18"/>
                <w:szCs w:val="20"/>
                <w:lang w:val="id-ID" w:eastAsia="id-ID"/>
              </w:rPr>
            </w:pPr>
            <w:r w:rsidRPr="00BD150D">
              <w:rPr>
                <w:rFonts w:eastAsia="Times New Roman"/>
                <w:b/>
                <w:color w:val="000000"/>
                <w:sz w:val="18"/>
                <w:szCs w:val="20"/>
                <w:lang w:val="id-ID" w:eastAsia="id-ID"/>
              </w:rPr>
              <w:t>Maturity Level</w:t>
            </w:r>
          </w:p>
        </w:tc>
        <w:tc>
          <w:tcPr>
            <w:tcW w:w="2300" w:type="dxa"/>
            <w:tcBorders>
              <w:top w:val="nil"/>
              <w:left w:val="nil"/>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b/>
                <w:color w:val="000000"/>
                <w:sz w:val="18"/>
                <w:szCs w:val="20"/>
                <w:lang w:val="id-ID" w:eastAsia="id-ID"/>
              </w:rPr>
            </w:pPr>
            <w:r w:rsidRPr="00BD150D">
              <w:rPr>
                <w:rFonts w:eastAsia="Times New Roman"/>
                <w:b/>
                <w:color w:val="000000"/>
                <w:sz w:val="18"/>
                <w:szCs w:val="20"/>
                <w:lang w:eastAsia="id-ID"/>
              </w:rPr>
              <w:t>2,14</w:t>
            </w:r>
          </w:p>
        </w:tc>
      </w:tr>
    </w:tbl>
    <w:p w:rsidR="008066AF" w:rsidRPr="008066AF" w:rsidRDefault="008066AF" w:rsidP="00312AB0">
      <w:pPr>
        <w:ind w:firstLine="1560"/>
        <w:rPr>
          <w:sz w:val="20"/>
          <w:szCs w:val="20"/>
          <w:lang w:val="id-ID"/>
        </w:rPr>
      </w:pPr>
      <w:r w:rsidRPr="008066AF">
        <w:rPr>
          <w:sz w:val="20"/>
          <w:szCs w:val="20"/>
          <w:lang w:val="id-ID"/>
        </w:rPr>
        <w:t>Skala: 0-5</w:t>
      </w:r>
    </w:p>
    <w:p w:rsidR="008066AF" w:rsidRPr="008066AF" w:rsidRDefault="008066AF" w:rsidP="00312AB0">
      <w:pPr>
        <w:spacing w:after="120"/>
        <w:jc w:val="center"/>
        <w:rPr>
          <w:sz w:val="20"/>
          <w:szCs w:val="20"/>
          <w:lang w:val="id-ID"/>
        </w:rPr>
      </w:pPr>
    </w:p>
    <w:p w:rsidR="008066AF" w:rsidRPr="008066AF" w:rsidRDefault="00BD150D" w:rsidP="00312AB0">
      <w:pPr>
        <w:rPr>
          <w:b/>
          <w:sz w:val="20"/>
          <w:szCs w:val="20"/>
          <w:lang w:val="id-ID"/>
        </w:rPr>
      </w:pPr>
      <w:r>
        <w:rPr>
          <w:b/>
          <w:sz w:val="20"/>
          <w:szCs w:val="20"/>
          <w:lang w:val="id-ID"/>
        </w:rPr>
        <w:t>C.</w:t>
      </w:r>
      <w:r w:rsidR="008066AF" w:rsidRPr="008066AF">
        <w:rPr>
          <w:b/>
          <w:sz w:val="20"/>
          <w:szCs w:val="20"/>
          <w:lang w:val="id-ID"/>
        </w:rPr>
        <w:t xml:space="preserve"> Kondisi yang Diharapkan</w:t>
      </w:r>
    </w:p>
    <w:p w:rsidR="008066AF" w:rsidRPr="008066AF" w:rsidRDefault="008066AF" w:rsidP="00312AB0">
      <w:pPr>
        <w:jc w:val="both"/>
        <w:rPr>
          <w:sz w:val="20"/>
          <w:szCs w:val="20"/>
          <w:lang w:val="id-ID"/>
        </w:rPr>
      </w:pPr>
      <w:r w:rsidRPr="008066AF">
        <w:rPr>
          <w:sz w:val="20"/>
          <w:szCs w:val="20"/>
          <w:lang w:val="id-ID"/>
        </w:rPr>
        <w:tab/>
        <w:t xml:space="preserve">Secara umum tingkat kematangan yang diharapkan untuk tatakelola TIK adalah sebesar 3,69 atau sudah berada pada level 4 yang berarti sudah terprediksi dengan baik untuk semua aktivitas yang berkaitan dengan TIK. Nilai tertinggi diharapkan untuk proses EDM03 sebesar 3,80, yaitu prediksi terhadap segala </w:t>
      </w:r>
      <w:r w:rsidRPr="008066AF">
        <w:rPr>
          <w:sz w:val="20"/>
          <w:szCs w:val="20"/>
          <w:lang w:val="id-ID"/>
        </w:rPr>
        <w:lastRenderedPageBreak/>
        <w:t>risiko yang akan terjadi terhadap penggunaan TIK. Nilai terendah adalah untuk proses EDM01 sebesar 3,60 yaitu prediksi terhadap kebutuhan pengaturan dan pemeliharaan TIK.</w:t>
      </w:r>
    </w:p>
    <w:p w:rsidR="00526CE3" w:rsidRDefault="00526CE3" w:rsidP="00312AB0">
      <w:pPr>
        <w:spacing w:after="120"/>
        <w:jc w:val="center"/>
        <w:rPr>
          <w:sz w:val="18"/>
          <w:szCs w:val="20"/>
          <w:lang w:val="id-ID"/>
        </w:rPr>
      </w:pPr>
    </w:p>
    <w:p w:rsidR="008066AF" w:rsidRPr="00BD150D" w:rsidRDefault="00380FE4" w:rsidP="00312AB0">
      <w:pPr>
        <w:spacing w:after="120"/>
        <w:jc w:val="center"/>
        <w:rPr>
          <w:sz w:val="18"/>
          <w:szCs w:val="20"/>
          <w:lang w:val="id-ID"/>
        </w:rPr>
      </w:pPr>
      <w:r>
        <w:rPr>
          <w:sz w:val="18"/>
          <w:szCs w:val="20"/>
          <w:lang w:val="id-ID"/>
        </w:rPr>
        <w:t xml:space="preserve">Tabel </w:t>
      </w:r>
      <w:r w:rsidR="008066AF" w:rsidRPr="00BD150D">
        <w:rPr>
          <w:sz w:val="18"/>
          <w:szCs w:val="20"/>
          <w:lang w:val="id-ID"/>
        </w:rPr>
        <w:t>3 Kematangan tatakelola TI yang diharapkan</w:t>
      </w:r>
    </w:p>
    <w:tbl>
      <w:tblPr>
        <w:tblW w:w="4845" w:type="dxa"/>
        <w:jc w:val="center"/>
        <w:tblInd w:w="98" w:type="dxa"/>
        <w:tblLook w:val="04A0"/>
      </w:tblPr>
      <w:tblGrid>
        <w:gridCol w:w="2545"/>
        <w:gridCol w:w="2300"/>
      </w:tblGrid>
      <w:tr w:rsidR="008066AF" w:rsidRPr="00BD150D" w:rsidTr="00180A12">
        <w:trPr>
          <w:trHeight w:val="20"/>
          <w:jc w:val="center"/>
        </w:trPr>
        <w:tc>
          <w:tcPr>
            <w:tcW w:w="2545" w:type="dxa"/>
            <w:tcBorders>
              <w:top w:val="single" w:sz="8" w:space="0" w:color="auto"/>
              <w:left w:val="single" w:sz="8" w:space="0" w:color="auto"/>
              <w:bottom w:val="single" w:sz="8" w:space="0" w:color="auto"/>
              <w:right w:val="single" w:sz="8" w:space="0" w:color="auto"/>
            </w:tcBorders>
            <w:shd w:val="clear" w:color="000000" w:fill="000000"/>
            <w:vAlign w:val="bottom"/>
            <w:hideMark/>
          </w:tcPr>
          <w:p w:rsidR="008066AF" w:rsidRPr="00BD150D" w:rsidRDefault="008066AF" w:rsidP="00312AB0">
            <w:pPr>
              <w:jc w:val="center"/>
              <w:rPr>
                <w:rFonts w:eastAsia="Times New Roman"/>
                <w:color w:val="FFFFFF"/>
                <w:sz w:val="18"/>
                <w:szCs w:val="20"/>
                <w:lang w:val="id-ID" w:eastAsia="id-ID"/>
              </w:rPr>
            </w:pPr>
            <w:r w:rsidRPr="00BD150D">
              <w:rPr>
                <w:rFonts w:eastAsia="Times New Roman"/>
                <w:color w:val="FFFFFF"/>
                <w:sz w:val="18"/>
                <w:szCs w:val="20"/>
                <w:lang w:val="id-ID" w:eastAsia="id-ID"/>
              </w:rPr>
              <w:t>D</w:t>
            </w:r>
            <w:r w:rsidRPr="00BD150D">
              <w:rPr>
                <w:rFonts w:eastAsia="Times New Roman"/>
                <w:color w:val="FFFFFF"/>
                <w:sz w:val="18"/>
                <w:szCs w:val="20"/>
                <w:lang w:eastAsia="id-ID"/>
              </w:rPr>
              <w:t xml:space="preserve">omain </w:t>
            </w:r>
            <w:r w:rsidRPr="00BD150D">
              <w:rPr>
                <w:rFonts w:eastAsia="Times New Roman"/>
                <w:color w:val="FFFFFF"/>
                <w:sz w:val="18"/>
                <w:szCs w:val="20"/>
                <w:lang w:val="id-ID" w:eastAsia="id-ID"/>
              </w:rPr>
              <w:t>P</w:t>
            </w:r>
            <w:r w:rsidRPr="00BD150D">
              <w:rPr>
                <w:rFonts w:eastAsia="Times New Roman"/>
                <w:color w:val="FFFFFF"/>
                <w:sz w:val="18"/>
                <w:szCs w:val="20"/>
                <w:lang w:eastAsia="id-ID"/>
              </w:rPr>
              <w:t>roses</w:t>
            </w:r>
          </w:p>
        </w:tc>
        <w:tc>
          <w:tcPr>
            <w:tcW w:w="2300" w:type="dxa"/>
            <w:tcBorders>
              <w:top w:val="single" w:sz="8" w:space="0" w:color="auto"/>
              <w:left w:val="nil"/>
              <w:bottom w:val="single" w:sz="8" w:space="0" w:color="auto"/>
              <w:right w:val="single" w:sz="8" w:space="0" w:color="auto"/>
            </w:tcBorders>
            <w:shd w:val="clear" w:color="000000" w:fill="000000"/>
            <w:vAlign w:val="bottom"/>
            <w:hideMark/>
          </w:tcPr>
          <w:p w:rsidR="008066AF" w:rsidRPr="00BD150D" w:rsidRDefault="008066AF" w:rsidP="00312AB0">
            <w:pPr>
              <w:jc w:val="center"/>
              <w:rPr>
                <w:rFonts w:eastAsia="Times New Roman"/>
                <w:color w:val="FFFFFF"/>
                <w:sz w:val="18"/>
                <w:szCs w:val="20"/>
                <w:lang w:val="id-ID" w:eastAsia="id-ID"/>
              </w:rPr>
            </w:pPr>
            <w:r w:rsidRPr="00BD150D">
              <w:rPr>
                <w:rFonts w:eastAsia="Times New Roman"/>
                <w:color w:val="FFFFFF"/>
                <w:sz w:val="18"/>
                <w:szCs w:val="20"/>
                <w:lang w:val="id-ID" w:eastAsia="id-ID"/>
              </w:rPr>
              <w:t>R</w:t>
            </w:r>
            <w:r w:rsidRPr="00BD150D">
              <w:rPr>
                <w:rFonts w:eastAsia="Times New Roman"/>
                <w:color w:val="FFFFFF"/>
                <w:sz w:val="18"/>
                <w:szCs w:val="20"/>
                <w:lang w:eastAsia="id-ID"/>
              </w:rPr>
              <w:t>ata-rata Proses</w:t>
            </w:r>
          </w:p>
        </w:tc>
      </w:tr>
      <w:tr w:rsidR="008066AF" w:rsidRPr="00BD150D" w:rsidTr="00180A12">
        <w:trPr>
          <w:trHeight w:val="20"/>
          <w:jc w:val="center"/>
        </w:trPr>
        <w:tc>
          <w:tcPr>
            <w:tcW w:w="2545" w:type="dxa"/>
            <w:tcBorders>
              <w:top w:val="nil"/>
              <w:left w:val="single" w:sz="8" w:space="0" w:color="auto"/>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edm01</w:t>
            </w:r>
          </w:p>
        </w:tc>
        <w:tc>
          <w:tcPr>
            <w:tcW w:w="2300" w:type="dxa"/>
            <w:tcBorders>
              <w:top w:val="nil"/>
              <w:left w:val="nil"/>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3,60</w:t>
            </w:r>
          </w:p>
        </w:tc>
      </w:tr>
      <w:tr w:rsidR="008066AF" w:rsidRPr="00BD150D" w:rsidTr="00180A12">
        <w:trPr>
          <w:trHeight w:val="20"/>
          <w:jc w:val="center"/>
        </w:trPr>
        <w:tc>
          <w:tcPr>
            <w:tcW w:w="2545" w:type="dxa"/>
            <w:tcBorders>
              <w:top w:val="nil"/>
              <w:left w:val="single" w:sz="8" w:space="0" w:color="auto"/>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edm02</w:t>
            </w:r>
          </w:p>
        </w:tc>
        <w:tc>
          <w:tcPr>
            <w:tcW w:w="2300" w:type="dxa"/>
            <w:tcBorders>
              <w:top w:val="nil"/>
              <w:left w:val="nil"/>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3,65</w:t>
            </w:r>
          </w:p>
        </w:tc>
      </w:tr>
      <w:tr w:rsidR="008066AF" w:rsidRPr="00BD150D" w:rsidTr="00180A12">
        <w:trPr>
          <w:trHeight w:val="20"/>
          <w:jc w:val="center"/>
        </w:trPr>
        <w:tc>
          <w:tcPr>
            <w:tcW w:w="2545" w:type="dxa"/>
            <w:tcBorders>
              <w:top w:val="nil"/>
              <w:left w:val="single" w:sz="8" w:space="0" w:color="auto"/>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edm03</w:t>
            </w:r>
          </w:p>
        </w:tc>
        <w:tc>
          <w:tcPr>
            <w:tcW w:w="2300" w:type="dxa"/>
            <w:tcBorders>
              <w:top w:val="nil"/>
              <w:left w:val="nil"/>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3,80</w:t>
            </w:r>
          </w:p>
        </w:tc>
      </w:tr>
      <w:tr w:rsidR="008066AF" w:rsidRPr="00BD150D" w:rsidTr="00180A12">
        <w:trPr>
          <w:trHeight w:val="20"/>
          <w:jc w:val="center"/>
        </w:trPr>
        <w:tc>
          <w:tcPr>
            <w:tcW w:w="2545" w:type="dxa"/>
            <w:tcBorders>
              <w:top w:val="nil"/>
              <w:left w:val="single" w:sz="8" w:space="0" w:color="auto"/>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edm04</w:t>
            </w:r>
          </w:p>
        </w:tc>
        <w:tc>
          <w:tcPr>
            <w:tcW w:w="2300" w:type="dxa"/>
            <w:tcBorders>
              <w:top w:val="nil"/>
              <w:left w:val="nil"/>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3,65</w:t>
            </w:r>
          </w:p>
        </w:tc>
      </w:tr>
      <w:tr w:rsidR="008066AF" w:rsidRPr="00BD150D" w:rsidTr="00180A12">
        <w:trPr>
          <w:trHeight w:val="20"/>
          <w:jc w:val="center"/>
        </w:trPr>
        <w:tc>
          <w:tcPr>
            <w:tcW w:w="2545" w:type="dxa"/>
            <w:tcBorders>
              <w:top w:val="nil"/>
              <w:left w:val="single" w:sz="8" w:space="0" w:color="auto"/>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edm05</w:t>
            </w:r>
          </w:p>
        </w:tc>
        <w:tc>
          <w:tcPr>
            <w:tcW w:w="2300" w:type="dxa"/>
            <w:tcBorders>
              <w:top w:val="nil"/>
              <w:left w:val="nil"/>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3,75</w:t>
            </w:r>
          </w:p>
        </w:tc>
      </w:tr>
      <w:tr w:rsidR="008066AF" w:rsidRPr="00BD150D" w:rsidTr="00180A12">
        <w:trPr>
          <w:trHeight w:val="20"/>
          <w:jc w:val="center"/>
        </w:trPr>
        <w:tc>
          <w:tcPr>
            <w:tcW w:w="2545" w:type="dxa"/>
            <w:tcBorders>
              <w:top w:val="nil"/>
              <w:left w:val="single" w:sz="8" w:space="0" w:color="auto"/>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Total</w:t>
            </w:r>
          </w:p>
        </w:tc>
        <w:tc>
          <w:tcPr>
            <w:tcW w:w="2300" w:type="dxa"/>
            <w:tcBorders>
              <w:top w:val="nil"/>
              <w:left w:val="nil"/>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18,45</w:t>
            </w:r>
          </w:p>
        </w:tc>
      </w:tr>
      <w:tr w:rsidR="008066AF" w:rsidRPr="00BD150D" w:rsidTr="00180A12">
        <w:trPr>
          <w:trHeight w:val="20"/>
          <w:jc w:val="center"/>
        </w:trPr>
        <w:tc>
          <w:tcPr>
            <w:tcW w:w="2545" w:type="dxa"/>
            <w:tcBorders>
              <w:top w:val="nil"/>
              <w:left w:val="single" w:sz="8" w:space="0" w:color="auto"/>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b/>
                <w:color w:val="000000"/>
                <w:sz w:val="18"/>
                <w:szCs w:val="20"/>
                <w:lang w:val="id-ID" w:eastAsia="id-ID"/>
              </w:rPr>
            </w:pPr>
            <w:r w:rsidRPr="00BD150D">
              <w:rPr>
                <w:rFonts w:eastAsia="Times New Roman"/>
                <w:b/>
                <w:color w:val="000000"/>
                <w:sz w:val="18"/>
                <w:szCs w:val="20"/>
                <w:lang w:val="id-ID" w:eastAsia="id-ID"/>
              </w:rPr>
              <w:t>Maturity Level</w:t>
            </w:r>
          </w:p>
        </w:tc>
        <w:tc>
          <w:tcPr>
            <w:tcW w:w="2300" w:type="dxa"/>
            <w:tcBorders>
              <w:top w:val="nil"/>
              <w:left w:val="nil"/>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b/>
                <w:color w:val="000000"/>
                <w:sz w:val="18"/>
                <w:szCs w:val="20"/>
                <w:lang w:val="id-ID" w:eastAsia="id-ID"/>
              </w:rPr>
            </w:pPr>
            <w:r w:rsidRPr="00BD150D">
              <w:rPr>
                <w:rFonts w:eastAsia="Times New Roman"/>
                <w:b/>
                <w:color w:val="000000"/>
                <w:sz w:val="18"/>
                <w:szCs w:val="20"/>
                <w:lang w:eastAsia="id-ID"/>
              </w:rPr>
              <w:t>3,69</w:t>
            </w:r>
          </w:p>
        </w:tc>
      </w:tr>
    </w:tbl>
    <w:p w:rsidR="008066AF" w:rsidRPr="008066AF" w:rsidRDefault="008066AF" w:rsidP="00312AB0">
      <w:pPr>
        <w:ind w:firstLine="1560"/>
        <w:rPr>
          <w:sz w:val="20"/>
          <w:szCs w:val="20"/>
          <w:lang w:val="id-ID"/>
        </w:rPr>
      </w:pPr>
      <w:r w:rsidRPr="008066AF">
        <w:rPr>
          <w:sz w:val="20"/>
          <w:szCs w:val="20"/>
          <w:lang w:val="id-ID"/>
        </w:rPr>
        <w:t>Skala: 0-5</w:t>
      </w:r>
    </w:p>
    <w:p w:rsidR="008066AF" w:rsidRPr="008066AF" w:rsidRDefault="008066AF" w:rsidP="00312AB0">
      <w:pPr>
        <w:ind w:firstLine="1560"/>
        <w:rPr>
          <w:sz w:val="20"/>
          <w:szCs w:val="20"/>
          <w:lang w:val="id-ID"/>
        </w:rPr>
      </w:pPr>
    </w:p>
    <w:p w:rsidR="008066AF" w:rsidRPr="008066AF" w:rsidRDefault="00A8116D" w:rsidP="00312AB0">
      <w:pPr>
        <w:rPr>
          <w:b/>
          <w:sz w:val="20"/>
          <w:szCs w:val="20"/>
          <w:lang w:val="id-ID"/>
        </w:rPr>
      </w:pPr>
      <w:r>
        <w:rPr>
          <w:b/>
          <w:sz w:val="20"/>
          <w:szCs w:val="20"/>
          <w:lang w:val="id-ID"/>
        </w:rPr>
        <w:t>D.</w:t>
      </w:r>
      <w:r w:rsidR="008066AF" w:rsidRPr="008066AF">
        <w:rPr>
          <w:b/>
          <w:sz w:val="20"/>
          <w:szCs w:val="20"/>
          <w:lang w:val="id-ID"/>
        </w:rPr>
        <w:t xml:space="preserve"> Kesenjangan Kematangan Tatakelola</w:t>
      </w:r>
    </w:p>
    <w:p w:rsidR="008066AF" w:rsidRPr="008066AF" w:rsidRDefault="008066AF" w:rsidP="00312AB0">
      <w:pPr>
        <w:jc w:val="both"/>
        <w:rPr>
          <w:sz w:val="20"/>
          <w:szCs w:val="20"/>
          <w:lang w:val="id-ID"/>
        </w:rPr>
      </w:pPr>
      <w:r w:rsidRPr="008066AF">
        <w:rPr>
          <w:sz w:val="20"/>
          <w:szCs w:val="20"/>
          <w:lang w:val="id-ID"/>
        </w:rPr>
        <w:tab/>
        <w:t>Secara umum kesenjangan (gap) tingkat kematangan tatakelola antara saat ini dengan harapan adalah sebesar 1,55 atau mencapai 2 tingkat kematangan. Kesenjangan terkecil terdapat pada proses EDM01 sebesar 1,18 atau hanya 1 tingkatan kematangan, berarti akan menjadi usaha yang paling mudah untuk diselesaikan. Kesenjangan tertinggi terdapat pada proses EDM03 sebesar 1,80 atau sebanyak 2 tingkatan kematangan, akan menjadi usaha yang paling sulit untuk dicapai peningkatanannya.</w:t>
      </w:r>
    </w:p>
    <w:p w:rsidR="00526CE3" w:rsidRDefault="00526CE3" w:rsidP="00312AB0">
      <w:pPr>
        <w:spacing w:after="120"/>
        <w:jc w:val="center"/>
        <w:rPr>
          <w:sz w:val="18"/>
          <w:szCs w:val="20"/>
          <w:lang w:val="id-ID"/>
        </w:rPr>
      </w:pPr>
    </w:p>
    <w:p w:rsidR="008066AF" w:rsidRPr="00BD150D" w:rsidRDefault="00380FE4" w:rsidP="00312AB0">
      <w:pPr>
        <w:spacing w:after="120"/>
        <w:jc w:val="center"/>
        <w:rPr>
          <w:sz w:val="18"/>
          <w:szCs w:val="20"/>
          <w:lang w:val="id-ID"/>
        </w:rPr>
      </w:pPr>
      <w:r>
        <w:rPr>
          <w:sz w:val="18"/>
          <w:szCs w:val="20"/>
          <w:lang w:val="id-ID"/>
        </w:rPr>
        <w:t xml:space="preserve">Tabel </w:t>
      </w:r>
      <w:r w:rsidR="008066AF" w:rsidRPr="00BD150D">
        <w:rPr>
          <w:sz w:val="18"/>
          <w:szCs w:val="20"/>
          <w:lang w:val="id-ID"/>
        </w:rPr>
        <w:t>4 Kesenjangan kematangan tatakelola</w:t>
      </w:r>
    </w:p>
    <w:tbl>
      <w:tblPr>
        <w:tblW w:w="6158" w:type="dxa"/>
        <w:jc w:val="center"/>
        <w:tblInd w:w="98" w:type="dxa"/>
        <w:tblLook w:val="04A0"/>
      </w:tblPr>
      <w:tblGrid>
        <w:gridCol w:w="1711"/>
        <w:gridCol w:w="1758"/>
        <w:gridCol w:w="1375"/>
        <w:gridCol w:w="1314"/>
      </w:tblGrid>
      <w:tr w:rsidR="008066AF" w:rsidRPr="00BD150D" w:rsidTr="00BD150D">
        <w:trPr>
          <w:trHeight w:val="20"/>
          <w:jc w:val="center"/>
        </w:trPr>
        <w:tc>
          <w:tcPr>
            <w:tcW w:w="1711" w:type="dxa"/>
            <w:tcBorders>
              <w:top w:val="single" w:sz="8" w:space="0" w:color="auto"/>
              <w:left w:val="single" w:sz="8" w:space="0" w:color="auto"/>
              <w:bottom w:val="nil"/>
              <w:right w:val="single" w:sz="8" w:space="0" w:color="auto"/>
            </w:tcBorders>
            <w:shd w:val="clear" w:color="000000" w:fill="000000"/>
            <w:vAlign w:val="bottom"/>
            <w:hideMark/>
          </w:tcPr>
          <w:p w:rsidR="008066AF" w:rsidRPr="00BD150D" w:rsidRDefault="008066AF" w:rsidP="00312AB0">
            <w:pPr>
              <w:jc w:val="center"/>
              <w:rPr>
                <w:rFonts w:eastAsia="Times New Roman"/>
                <w:color w:val="FFFFFF"/>
                <w:sz w:val="18"/>
                <w:szCs w:val="20"/>
                <w:lang w:val="id-ID" w:eastAsia="id-ID"/>
              </w:rPr>
            </w:pPr>
            <w:r w:rsidRPr="00BD150D">
              <w:rPr>
                <w:rFonts w:eastAsia="Times New Roman"/>
                <w:color w:val="FFFFFF"/>
                <w:sz w:val="18"/>
                <w:szCs w:val="20"/>
                <w:lang w:eastAsia="id-ID"/>
              </w:rPr>
              <w:t>domain proses</w:t>
            </w:r>
          </w:p>
        </w:tc>
        <w:tc>
          <w:tcPr>
            <w:tcW w:w="1758" w:type="dxa"/>
            <w:tcBorders>
              <w:top w:val="single" w:sz="8" w:space="0" w:color="auto"/>
              <w:left w:val="nil"/>
              <w:bottom w:val="nil"/>
              <w:right w:val="single" w:sz="8" w:space="0" w:color="auto"/>
            </w:tcBorders>
            <w:shd w:val="clear" w:color="000000" w:fill="000000"/>
            <w:vAlign w:val="bottom"/>
            <w:hideMark/>
          </w:tcPr>
          <w:p w:rsidR="008066AF" w:rsidRPr="00BD150D" w:rsidRDefault="008066AF" w:rsidP="00312AB0">
            <w:pPr>
              <w:jc w:val="center"/>
              <w:rPr>
                <w:rFonts w:eastAsia="Times New Roman"/>
                <w:color w:val="FFFFFF"/>
                <w:sz w:val="18"/>
                <w:szCs w:val="20"/>
                <w:lang w:val="id-ID" w:eastAsia="id-ID"/>
              </w:rPr>
            </w:pPr>
            <w:r w:rsidRPr="00BD150D">
              <w:rPr>
                <w:rFonts w:eastAsia="Times New Roman"/>
                <w:color w:val="FFFFFF"/>
                <w:sz w:val="18"/>
                <w:szCs w:val="20"/>
                <w:lang w:eastAsia="id-ID"/>
              </w:rPr>
              <w:t>Kondisi saat ini</w:t>
            </w:r>
          </w:p>
        </w:tc>
        <w:tc>
          <w:tcPr>
            <w:tcW w:w="1375" w:type="dxa"/>
            <w:tcBorders>
              <w:top w:val="single" w:sz="8" w:space="0" w:color="auto"/>
              <w:left w:val="nil"/>
              <w:bottom w:val="nil"/>
              <w:right w:val="nil"/>
            </w:tcBorders>
            <w:shd w:val="clear" w:color="000000" w:fill="000000"/>
            <w:vAlign w:val="bottom"/>
            <w:hideMark/>
          </w:tcPr>
          <w:p w:rsidR="008066AF" w:rsidRPr="00BD150D" w:rsidRDefault="008066AF" w:rsidP="00312AB0">
            <w:pPr>
              <w:jc w:val="center"/>
              <w:rPr>
                <w:rFonts w:eastAsia="Times New Roman"/>
                <w:color w:val="FFFFFF"/>
                <w:sz w:val="18"/>
                <w:szCs w:val="20"/>
                <w:lang w:val="id-ID" w:eastAsia="id-ID"/>
              </w:rPr>
            </w:pPr>
            <w:r w:rsidRPr="00BD150D">
              <w:rPr>
                <w:rFonts w:eastAsia="Times New Roman"/>
                <w:color w:val="FFFFFF"/>
                <w:sz w:val="18"/>
                <w:szCs w:val="20"/>
                <w:lang w:eastAsia="id-ID"/>
              </w:rPr>
              <w:t>Harapan</w:t>
            </w:r>
          </w:p>
        </w:tc>
        <w:tc>
          <w:tcPr>
            <w:tcW w:w="1314" w:type="dxa"/>
            <w:tcBorders>
              <w:top w:val="single" w:sz="8" w:space="0" w:color="auto"/>
              <w:left w:val="single" w:sz="8" w:space="0" w:color="auto"/>
              <w:bottom w:val="single" w:sz="4" w:space="0" w:color="auto"/>
              <w:right w:val="single" w:sz="8" w:space="0" w:color="auto"/>
            </w:tcBorders>
            <w:shd w:val="clear" w:color="000000" w:fill="000000"/>
            <w:vAlign w:val="bottom"/>
            <w:hideMark/>
          </w:tcPr>
          <w:p w:rsidR="008066AF" w:rsidRPr="00BD150D" w:rsidRDefault="008066AF" w:rsidP="00312AB0">
            <w:pPr>
              <w:jc w:val="center"/>
              <w:rPr>
                <w:rFonts w:eastAsia="Times New Roman"/>
                <w:color w:val="FFFFFF"/>
                <w:sz w:val="18"/>
                <w:szCs w:val="20"/>
                <w:lang w:val="id-ID" w:eastAsia="id-ID"/>
              </w:rPr>
            </w:pPr>
            <w:r w:rsidRPr="00BD150D">
              <w:rPr>
                <w:rFonts w:eastAsia="Times New Roman"/>
                <w:color w:val="FFFFFF"/>
                <w:sz w:val="18"/>
                <w:szCs w:val="20"/>
                <w:lang w:eastAsia="id-ID"/>
              </w:rPr>
              <w:t>Gap</w:t>
            </w:r>
          </w:p>
        </w:tc>
      </w:tr>
      <w:tr w:rsidR="008066AF" w:rsidRPr="00BD150D" w:rsidTr="00BD150D">
        <w:trPr>
          <w:trHeight w:val="20"/>
          <w:jc w:val="center"/>
        </w:trPr>
        <w:tc>
          <w:tcPr>
            <w:tcW w:w="171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edm01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2,43</w:t>
            </w:r>
          </w:p>
        </w:tc>
        <w:tc>
          <w:tcPr>
            <w:tcW w:w="1375" w:type="dxa"/>
            <w:tcBorders>
              <w:top w:val="single" w:sz="4" w:space="0" w:color="auto"/>
              <w:left w:val="nil"/>
              <w:bottom w:val="single" w:sz="4" w:space="0" w:color="auto"/>
              <w:right w:val="nil"/>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3,60</w:t>
            </w:r>
          </w:p>
        </w:tc>
        <w:tc>
          <w:tcPr>
            <w:tcW w:w="1314" w:type="dxa"/>
            <w:tcBorders>
              <w:top w:val="nil"/>
              <w:left w:val="single" w:sz="8" w:space="0" w:color="auto"/>
              <w:bottom w:val="single" w:sz="4" w:space="0" w:color="auto"/>
              <w:right w:val="single" w:sz="8" w:space="0" w:color="auto"/>
            </w:tcBorders>
            <w:shd w:val="clear" w:color="auto" w:fill="auto"/>
            <w:noWrap/>
            <w:vAlign w:val="bottom"/>
            <w:hideMark/>
          </w:tcPr>
          <w:p w:rsidR="008066AF" w:rsidRPr="00BD150D" w:rsidRDefault="008066AF" w:rsidP="00312AB0">
            <w:pPr>
              <w:jc w:val="center"/>
              <w:rPr>
                <w:rFonts w:ascii="Calibri" w:eastAsia="Times New Roman" w:hAnsi="Calibri" w:cs="Calibri"/>
                <w:color w:val="000000"/>
                <w:sz w:val="18"/>
                <w:szCs w:val="20"/>
                <w:lang w:val="id-ID" w:eastAsia="id-ID"/>
              </w:rPr>
            </w:pPr>
            <w:r w:rsidRPr="00BD150D">
              <w:rPr>
                <w:rFonts w:ascii="Calibri" w:eastAsia="Times New Roman" w:hAnsi="Calibri" w:cs="Calibri"/>
                <w:color w:val="000000"/>
                <w:sz w:val="18"/>
                <w:szCs w:val="20"/>
                <w:lang w:val="id-ID" w:eastAsia="id-ID"/>
              </w:rPr>
              <w:t>1,18</w:t>
            </w:r>
          </w:p>
        </w:tc>
      </w:tr>
      <w:tr w:rsidR="008066AF" w:rsidRPr="00BD150D" w:rsidTr="00BD150D">
        <w:trPr>
          <w:trHeight w:val="20"/>
          <w:jc w:val="center"/>
        </w:trPr>
        <w:tc>
          <w:tcPr>
            <w:tcW w:w="1711" w:type="dxa"/>
            <w:tcBorders>
              <w:top w:val="nil"/>
              <w:left w:val="single" w:sz="8" w:space="0" w:color="auto"/>
              <w:bottom w:val="single" w:sz="4"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edm02</w:t>
            </w:r>
          </w:p>
        </w:tc>
        <w:tc>
          <w:tcPr>
            <w:tcW w:w="1758" w:type="dxa"/>
            <w:tcBorders>
              <w:top w:val="nil"/>
              <w:left w:val="nil"/>
              <w:bottom w:val="single" w:sz="4" w:space="0" w:color="auto"/>
              <w:right w:val="single" w:sz="4"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2,23</w:t>
            </w:r>
          </w:p>
        </w:tc>
        <w:tc>
          <w:tcPr>
            <w:tcW w:w="1375" w:type="dxa"/>
            <w:tcBorders>
              <w:top w:val="nil"/>
              <w:left w:val="nil"/>
              <w:bottom w:val="single" w:sz="4" w:space="0" w:color="auto"/>
              <w:right w:val="nil"/>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3,65</w:t>
            </w:r>
          </w:p>
        </w:tc>
        <w:tc>
          <w:tcPr>
            <w:tcW w:w="1314" w:type="dxa"/>
            <w:tcBorders>
              <w:top w:val="nil"/>
              <w:left w:val="single" w:sz="8" w:space="0" w:color="auto"/>
              <w:bottom w:val="single" w:sz="4" w:space="0" w:color="auto"/>
              <w:right w:val="single" w:sz="8" w:space="0" w:color="auto"/>
            </w:tcBorders>
            <w:shd w:val="clear" w:color="auto" w:fill="auto"/>
            <w:noWrap/>
            <w:vAlign w:val="bottom"/>
            <w:hideMark/>
          </w:tcPr>
          <w:p w:rsidR="008066AF" w:rsidRPr="00BD150D" w:rsidRDefault="008066AF" w:rsidP="00312AB0">
            <w:pPr>
              <w:jc w:val="center"/>
              <w:rPr>
                <w:rFonts w:ascii="Calibri" w:eastAsia="Times New Roman" w:hAnsi="Calibri" w:cs="Calibri"/>
                <w:color w:val="000000"/>
                <w:sz w:val="18"/>
                <w:szCs w:val="20"/>
                <w:lang w:val="id-ID" w:eastAsia="id-ID"/>
              </w:rPr>
            </w:pPr>
            <w:r w:rsidRPr="00BD150D">
              <w:rPr>
                <w:rFonts w:ascii="Calibri" w:eastAsia="Times New Roman" w:hAnsi="Calibri" w:cs="Calibri"/>
                <w:color w:val="000000"/>
                <w:sz w:val="18"/>
                <w:szCs w:val="20"/>
                <w:lang w:val="id-ID" w:eastAsia="id-ID"/>
              </w:rPr>
              <w:t>1,43</w:t>
            </w:r>
          </w:p>
        </w:tc>
      </w:tr>
      <w:tr w:rsidR="008066AF" w:rsidRPr="00BD150D" w:rsidTr="00BD150D">
        <w:trPr>
          <w:trHeight w:val="20"/>
          <w:jc w:val="center"/>
        </w:trPr>
        <w:tc>
          <w:tcPr>
            <w:tcW w:w="1711" w:type="dxa"/>
            <w:tcBorders>
              <w:top w:val="nil"/>
              <w:left w:val="single" w:sz="8" w:space="0" w:color="auto"/>
              <w:bottom w:val="single" w:sz="4"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edm03</w:t>
            </w:r>
          </w:p>
        </w:tc>
        <w:tc>
          <w:tcPr>
            <w:tcW w:w="1758" w:type="dxa"/>
            <w:tcBorders>
              <w:top w:val="nil"/>
              <w:left w:val="nil"/>
              <w:bottom w:val="single" w:sz="4" w:space="0" w:color="auto"/>
              <w:right w:val="single" w:sz="4"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val="id-ID" w:eastAsia="id-ID"/>
              </w:rPr>
              <w:t>2,00</w:t>
            </w:r>
          </w:p>
        </w:tc>
        <w:tc>
          <w:tcPr>
            <w:tcW w:w="1375" w:type="dxa"/>
            <w:tcBorders>
              <w:top w:val="nil"/>
              <w:left w:val="nil"/>
              <w:bottom w:val="single" w:sz="4" w:space="0" w:color="auto"/>
              <w:right w:val="nil"/>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val="id-ID" w:eastAsia="id-ID"/>
              </w:rPr>
              <w:t>3,80</w:t>
            </w:r>
          </w:p>
        </w:tc>
        <w:tc>
          <w:tcPr>
            <w:tcW w:w="1314" w:type="dxa"/>
            <w:tcBorders>
              <w:top w:val="nil"/>
              <w:left w:val="single" w:sz="8" w:space="0" w:color="auto"/>
              <w:bottom w:val="single" w:sz="4" w:space="0" w:color="auto"/>
              <w:right w:val="single" w:sz="8" w:space="0" w:color="auto"/>
            </w:tcBorders>
            <w:shd w:val="clear" w:color="auto" w:fill="auto"/>
            <w:noWrap/>
            <w:vAlign w:val="bottom"/>
            <w:hideMark/>
          </w:tcPr>
          <w:p w:rsidR="008066AF" w:rsidRPr="00BD150D" w:rsidRDefault="008066AF" w:rsidP="00312AB0">
            <w:pPr>
              <w:jc w:val="center"/>
              <w:rPr>
                <w:rFonts w:ascii="Calibri" w:eastAsia="Times New Roman" w:hAnsi="Calibri" w:cs="Calibri"/>
                <w:color w:val="000000"/>
                <w:sz w:val="18"/>
                <w:szCs w:val="20"/>
                <w:lang w:val="id-ID" w:eastAsia="id-ID"/>
              </w:rPr>
            </w:pPr>
            <w:r w:rsidRPr="00BD150D">
              <w:rPr>
                <w:rFonts w:ascii="Calibri" w:eastAsia="Times New Roman" w:hAnsi="Calibri" w:cs="Calibri"/>
                <w:color w:val="000000"/>
                <w:sz w:val="18"/>
                <w:szCs w:val="20"/>
                <w:lang w:val="id-ID" w:eastAsia="id-ID"/>
              </w:rPr>
              <w:t>1,80</w:t>
            </w:r>
          </w:p>
        </w:tc>
      </w:tr>
      <w:tr w:rsidR="008066AF" w:rsidRPr="00BD150D" w:rsidTr="00BD150D">
        <w:trPr>
          <w:trHeight w:val="20"/>
          <w:jc w:val="center"/>
        </w:trPr>
        <w:tc>
          <w:tcPr>
            <w:tcW w:w="1711" w:type="dxa"/>
            <w:tcBorders>
              <w:top w:val="nil"/>
              <w:left w:val="single" w:sz="8" w:space="0" w:color="auto"/>
              <w:bottom w:val="single" w:sz="4"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edm04</w:t>
            </w:r>
          </w:p>
        </w:tc>
        <w:tc>
          <w:tcPr>
            <w:tcW w:w="1758" w:type="dxa"/>
            <w:tcBorders>
              <w:top w:val="nil"/>
              <w:left w:val="nil"/>
              <w:bottom w:val="single" w:sz="4" w:space="0" w:color="auto"/>
              <w:right w:val="single" w:sz="4"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val="id-ID" w:eastAsia="id-ID"/>
              </w:rPr>
              <w:t>2,03</w:t>
            </w:r>
          </w:p>
        </w:tc>
        <w:tc>
          <w:tcPr>
            <w:tcW w:w="1375" w:type="dxa"/>
            <w:tcBorders>
              <w:top w:val="nil"/>
              <w:left w:val="nil"/>
              <w:bottom w:val="single" w:sz="4" w:space="0" w:color="auto"/>
              <w:right w:val="nil"/>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val="id-ID" w:eastAsia="id-ID"/>
              </w:rPr>
              <w:t>3,65</w:t>
            </w:r>
          </w:p>
        </w:tc>
        <w:tc>
          <w:tcPr>
            <w:tcW w:w="1314" w:type="dxa"/>
            <w:tcBorders>
              <w:top w:val="nil"/>
              <w:left w:val="single" w:sz="8" w:space="0" w:color="auto"/>
              <w:bottom w:val="single" w:sz="4" w:space="0" w:color="auto"/>
              <w:right w:val="single" w:sz="8" w:space="0" w:color="auto"/>
            </w:tcBorders>
            <w:shd w:val="clear" w:color="auto" w:fill="auto"/>
            <w:noWrap/>
            <w:vAlign w:val="bottom"/>
            <w:hideMark/>
          </w:tcPr>
          <w:p w:rsidR="008066AF" w:rsidRPr="00BD150D" w:rsidRDefault="008066AF" w:rsidP="00312AB0">
            <w:pPr>
              <w:jc w:val="center"/>
              <w:rPr>
                <w:rFonts w:ascii="Calibri" w:eastAsia="Times New Roman" w:hAnsi="Calibri" w:cs="Calibri"/>
                <w:color w:val="000000"/>
                <w:sz w:val="18"/>
                <w:szCs w:val="20"/>
                <w:lang w:val="id-ID" w:eastAsia="id-ID"/>
              </w:rPr>
            </w:pPr>
            <w:r w:rsidRPr="00BD150D">
              <w:rPr>
                <w:rFonts w:ascii="Calibri" w:eastAsia="Times New Roman" w:hAnsi="Calibri" w:cs="Calibri"/>
                <w:color w:val="000000"/>
                <w:sz w:val="18"/>
                <w:szCs w:val="20"/>
                <w:lang w:val="id-ID" w:eastAsia="id-ID"/>
              </w:rPr>
              <w:t>1,63</w:t>
            </w:r>
          </w:p>
        </w:tc>
      </w:tr>
      <w:tr w:rsidR="008066AF" w:rsidRPr="00BD150D" w:rsidTr="00BD150D">
        <w:trPr>
          <w:trHeight w:val="20"/>
          <w:jc w:val="center"/>
        </w:trPr>
        <w:tc>
          <w:tcPr>
            <w:tcW w:w="1711" w:type="dxa"/>
            <w:tcBorders>
              <w:top w:val="nil"/>
              <w:left w:val="single" w:sz="8" w:space="0" w:color="auto"/>
              <w:bottom w:val="single" w:sz="4" w:space="0" w:color="auto"/>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edm05</w:t>
            </w:r>
          </w:p>
        </w:tc>
        <w:tc>
          <w:tcPr>
            <w:tcW w:w="1758" w:type="dxa"/>
            <w:tcBorders>
              <w:top w:val="nil"/>
              <w:left w:val="nil"/>
              <w:bottom w:val="single" w:sz="4" w:space="0" w:color="auto"/>
              <w:right w:val="single" w:sz="4"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val="id-ID" w:eastAsia="id-ID"/>
              </w:rPr>
              <w:t>2,03</w:t>
            </w:r>
          </w:p>
        </w:tc>
        <w:tc>
          <w:tcPr>
            <w:tcW w:w="1375" w:type="dxa"/>
            <w:tcBorders>
              <w:top w:val="nil"/>
              <w:left w:val="nil"/>
              <w:bottom w:val="single" w:sz="4" w:space="0" w:color="auto"/>
              <w:right w:val="nil"/>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val="id-ID" w:eastAsia="id-ID"/>
              </w:rPr>
              <w:t>3,75</w:t>
            </w:r>
          </w:p>
        </w:tc>
        <w:tc>
          <w:tcPr>
            <w:tcW w:w="1314" w:type="dxa"/>
            <w:tcBorders>
              <w:top w:val="nil"/>
              <w:left w:val="single" w:sz="8" w:space="0" w:color="auto"/>
              <w:bottom w:val="single" w:sz="4" w:space="0" w:color="auto"/>
              <w:right w:val="single" w:sz="8" w:space="0" w:color="auto"/>
            </w:tcBorders>
            <w:shd w:val="clear" w:color="auto" w:fill="auto"/>
            <w:noWrap/>
            <w:vAlign w:val="bottom"/>
            <w:hideMark/>
          </w:tcPr>
          <w:p w:rsidR="008066AF" w:rsidRPr="00BD150D" w:rsidRDefault="008066AF" w:rsidP="00312AB0">
            <w:pPr>
              <w:jc w:val="center"/>
              <w:rPr>
                <w:rFonts w:ascii="Calibri" w:eastAsia="Times New Roman" w:hAnsi="Calibri" w:cs="Calibri"/>
                <w:color w:val="000000"/>
                <w:sz w:val="18"/>
                <w:szCs w:val="20"/>
                <w:lang w:val="id-ID" w:eastAsia="id-ID"/>
              </w:rPr>
            </w:pPr>
            <w:r w:rsidRPr="00BD150D">
              <w:rPr>
                <w:rFonts w:ascii="Calibri" w:eastAsia="Times New Roman" w:hAnsi="Calibri" w:cs="Calibri"/>
                <w:color w:val="000000"/>
                <w:sz w:val="18"/>
                <w:szCs w:val="20"/>
                <w:lang w:val="id-ID" w:eastAsia="id-ID"/>
              </w:rPr>
              <w:t>1,73</w:t>
            </w:r>
          </w:p>
        </w:tc>
      </w:tr>
      <w:tr w:rsidR="008066AF" w:rsidRPr="00BD150D" w:rsidTr="00BD150D">
        <w:trPr>
          <w:trHeight w:val="20"/>
          <w:jc w:val="center"/>
        </w:trPr>
        <w:tc>
          <w:tcPr>
            <w:tcW w:w="1711" w:type="dxa"/>
            <w:tcBorders>
              <w:top w:val="nil"/>
              <w:left w:val="single" w:sz="8" w:space="0" w:color="auto"/>
              <w:bottom w:val="nil"/>
              <w:right w:val="single" w:sz="8"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Total</w:t>
            </w:r>
          </w:p>
        </w:tc>
        <w:tc>
          <w:tcPr>
            <w:tcW w:w="1758" w:type="dxa"/>
            <w:tcBorders>
              <w:top w:val="nil"/>
              <w:left w:val="nil"/>
              <w:bottom w:val="nil"/>
              <w:right w:val="single" w:sz="4" w:space="0" w:color="auto"/>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10,70</w:t>
            </w:r>
          </w:p>
        </w:tc>
        <w:tc>
          <w:tcPr>
            <w:tcW w:w="1375" w:type="dxa"/>
            <w:tcBorders>
              <w:top w:val="nil"/>
              <w:left w:val="nil"/>
              <w:bottom w:val="nil"/>
              <w:right w:val="nil"/>
            </w:tcBorders>
            <w:shd w:val="clear" w:color="auto" w:fill="auto"/>
            <w:vAlign w:val="bottom"/>
            <w:hideMark/>
          </w:tcPr>
          <w:p w:rsidR="008066AF" w:rsidRPr="00BD150D" w:rsidRDefault="008066AF" w:rsidP="00312AB0">
            <w:pPr>
              <w:jc w:val="center"/>
              <w:rPr>
                <w:rFonts w:eastAsia="Times New Roman"/>
                <w:color w:val="000000"/>
                <w:sz w:val="18"/>
                <w:szCs w:val="20"/>
                <w:lang w:val="id-ID" w:eastAsia="id-ID"/>
              </w:rPr>
            </w:pPr>
            <w:r w:rsidRPr="00BD150D">
              <w:rPr>
                <w:rFonts w:eastAsia="Times New Roman"/>
                <w:color w:val="000000"/>
                <w:sz w:val="18"/>
                <w:szCs w:val="20"/>
                <w:lang w:eastAsia="id-ID"/>
              </w:rPr>
              <w:t>18,45</w:t>
            </w:r>
          </w:p>
        </w:tc>
        <w:tc>
          <w:tcPr>
            <w:tcW w:w="1314" w:type="dxa"/>
            <w:tcBorders>
              <w:top w:val="nil"/>
              <w:left w:val="single" w:sz="8" w:space="0" w:color="auto"/>
              <w:bottom w:val="nil"/>
              <w:right w:val="single" w:sz="8" w:space="0" w:color="auto"/>
            </w:tcBorders>
            <w:shd w:val="clear" w:color="auto" w:fill="auto"/>
            <w:noWrap/>
            <w:vAlign w:val="bottom"/>
            <w:hideMark/>
          </w:tcPr>
          <w:p w:rsidR="008066AF" w:rsidRPr="00BD150D" w:rsidRDefault="008066AF" w:rsidP="00312AB0">
            <w:pPr>
              <w:jc w:val="center"/>
              <w:rPr>
                <w:rFonts w:ascii="Calibri" w:eastAsia="Times New Roman" w:hAnsi="Calibri" w:cs="Calibri"/>
                <w:color w:val="000000"/>
                <w:sz w:val="18"/>
                <w:szCs w:val="20"/>
                <w:lang w:val="id-ID" w:eastAsia="id-ID"/>
              </w:rPr>
            </w:pPr>
            <w:r w:rsidRPr="00BD150D">
              <w:rPr>
                <w:rFonts w:ascii="Calibri" w:eastAsia="Times New Roman" w:hAnsi="Calibri" w:cs="Calibri"/>
                <w:color w:val="000000"/>
                <w:sz w:val="18"/>
                <w:szCs w:val="20"/>
                <w:lang w:val="id-ID" w:eastAsia="id-ID"/>
              </w:rPr>
              <w:t>7,75</w:t>
            </w:r>
          </w:p>
        </w:tc>
      </w:tr>
      <w:tr w:rsidR="008066AF" w:rsidRPr="00BD150D" w:rsidTr="00BD150D">
        <w:trPr>
          <w:trHeight w:val="20"/>
          <w:jc w:val="center"/>
        </w:trPr>
        <w:tc>
          <w:tcPr>
            <w:tcW w:w="171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066AF" w:rsidRPr="00BD150D" w:rsidRDefault="008066AF" w:rsidP="00312AB0">
            <w:pPr>
              <w:jc w:val="center"/>
              <w:rPr>
                <w:rFonts w:eastAsia="Times New Roman"/>
                <w:b/>
                <w:color w:val="000000"/>
                <w:sz w:val="18"/>
                <w:szCs w:val="20"/>
                <w:lang w:val="id-ID" w:eastAsia="id-ID"/>
              </w:rPr>
            </w:pPr>
            <w:r w:rsidRPr="00BD150D">
              <w:rPr>
                <w:rFonts w:eastAsia="Times New Roman"/>
                <w:b/>
                <w:color w:val="000000"/>
                <w:sz w:val="18"/>
                <w:szCs w:val="20"/>
                <w:lang w:val="id-ID" w:eastAsia="id-ID"/>
              </w:rPr>
              <w:t>Maturity Level</w:t>
            </w:r>
          </w:p>
        </w:tc>
        <w:tc>
          <w:tcPr>
            <w:tcW w:w="1758" w:type="dxa"/>
            <w:tcBorders>
              <w:top w:val="single" w:sz="8" w:space="0" w:color="auto"/>
              <w:left w:val="nil"/>
              <w:bottom w:val="single" w:sz="8" w:space="0" w:color="auto"/>
              <w:right w:val="single" w:sz="4" w:space="0" w:color="auto"/>
            </w:tcBorders>
            <w:shd w:val="clear" w:color="auto" w:fill="auto"/>
            <w:vAlign w:val="bottom"/>
            <w:hideMark/>
          </w:tcPr>
          <w:p w:rsidR="008066AF" w:rsidRPr="00BD150D" w:rsidRDefault="008066AF" w:rsidP="00312AB0">
            <w:pPr>
              <w:jc w:val="center"/>
              <w:rPr>
                <w:rFonts w:eastAsia="Times New Roman"/>
                <w:b/>
                <w:color w:val="000000"/>
                <w:sz w:val="18"/>
                <w:szCs w:val="20"/>
                <w:lang w:val="id-ID" w:eastAsia="id-ID"/>
              </w:rPr>
            </w:pPr>
            <w:r w:rsidRPr="00BD150D">
              <w:rPr>
                <w:rFonts w:eastAsia="Times New Roman"/>
                <w:b/>
                <w:color w:val="000000"/>
                <w:sz w:val="18"/>
                <w:szCs w:val="20"/>
                <w:lang w:eastAsia="id-ID"/>
              </w:rPr>
              <w:t>2,14</w:t>
            </w:r>
          </w:p>
        </w:tc>
        <w:tc>
          <w:tcPr>
            <w:tcW w:w="1375" w:type="dxa"/>
            <w:tcBorders>
              <w:top w:val="single" w:sz="8" w:space="0" w:color="auto"/>
              <w:left w:val="nil"/>
              <w:bottom w:val="single" w:sz="8" w:space="0" w:color="auto"/>
              <w:right w:val="nil"/>
            </w:tcBorders>
            <w:shd w:val="clear" w:color="auto" w:fill="auto"/>
            <w:vAlign w:val="bottom"/>
            <w:hideMark/>
          </w:tcPr>
          <w:p w:rsidR="008066AF" w:rsidRPr="00BD150D" w:rsidRDefault="008066AF" w:rsidP="00312AB0">
            <w:pPr>
              <w:jc w:val="center"/>
              <w:rPr>
                <w:rFonts w:eastAsia="Times New Roman"/>
                <w:b/>
                <w:color w:val="000000"/>
                <w:sz w:val="18"/>
                <w:szCs w:val="20"/>
                <w:lang w:val="id-ID" w:eastAsia="id-ID"/>
              </w:rPr>
            </w:pPr>
            <w:r w:rsidRPr="00BD150D">
              <w:rPr>
                <w:rFonts w:eastAsia="Times New Roman"/>
                <w:b/>
                <w:color w:val="000000"/>
                <w:sz w:val="18"/>
                <w:szCs w:val="20"/>
                <w:lang w:eastAsia="id-ID"/>
              </w:rPr>
              <w:t>3,69</w:t>
            </w:r>
          </w:p>
        </w:tc>
        <w:tc>
          <w:tcPr>
            <w:tcW w:w="13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66AF" w:rsidRPr="00BD150D" w:rsidRDefault="008066AF" w:rsidP="00312AB0">
            <w:pPr>
              <w:jc w:val="center"/>
              <w:rPr>
                <w:rFonts w:ascii="Calibri" w:eastAsia="Times New Roman" w:hAnsi="Calibri" w:cs="Calibri"/>
                <w:b/>
                <w:color w:val="000000"/>
                <w:sz w:val="18"/>
                <w:szCs w:val="20"/>
                <w:lang w:val="id-ID" w:eastAsia="id-ID"/>
              </w:rPr>
            </w:pPr>
            <w:r w:rsidRPr="00BD150D">
              <w:rPr>
                <w:rFonts w:ascii="Calibri" w:eastAsia="Times New Roman" w:hAnsi="Calibri" w:cs="Calibri"/>
                <w:b/>
                <w:color w:val="000000"/>
                <w:sz w:val="18"/>
                <w:szCs w:val="20"/>
                <w:lang w:val="id-ID" w:eastAsia="id-ID"/>
              </w:rPr>
              <w:t>1,55</w:t>
            </w:r>
          </w:p>
        </w:tc>
      </w:tr>
    </w:tbl>
    <w:p w:rsidR="008066AF" w:rsidRPr="008066AF" w:rsidRDefault="008066AF" w:rsidP="00312AB0">
      <w:pPr>
        <w:rPr>
          <w:sz w:val="20"/>
          <w:szCs w:val="20"/>
          <w:lang w:val="id-ID"/>
        </w:rPr>
      </w:pPr>
    </w:p>
    <w:p w:rsidR="008066AF" w:rsidRPr="008066AF" w:rsidRDefault="008066AF" w:rsidP="00312AB0">
      <w:pPr>
        <w:jc w:val="center"/>
        <w:rPr>
          <w:sz w:val="20"/>
          <w:szCs w:val="20"/>
          <w:lang w:val="id-ID"/>
        </w:rPr>
      </w:pPr>
      <w:r w:rsidRPr="008066AF">
        <w:rPr>
          <w:noProof/>
          <w:sz w:val="20"/>
          <w:szCs w:val="20"/>
          <w:lang w:val="id-ID" w:eastAsia="id-ID"/>
        </w:rPr>
        <w:drawing>
          <wp:inline distT="0" distB="0" distL="0" distR="0">
            <wp:extent cx="3626154" cy="1566407"/>
            <wp:effectExtent l="19050" t="0" r="12396"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66AF" w:rsidRPr="008066AF" w:rsidRDefault="00380FE4" w:rsidP="00312AB0">
      <w:pPr>
        <w:jc w:val="center"/>
        <w:rPr>
          <w:sz w:val="20"/>
          <w:szCs w:val="20"/>
          <w:lang w:val="id-ID"/>
        </w:rPr>
      </w:pPr>
      <w:r>
        <w:rPr>
          <w:sz w:val="20"/>
          <w:szCs w:val="20"/>
          <w:lang w:val="id-ID"/>
        </w:rPr>
        <w:t>Gambar 1</w:t>
      </w:r>
      <w:r w:rsidR="008066AF" w:rsidRPr="008066AF">
        <w:rPr>
          <w:sz w:val="20"/>
          <w:szCs w:val="20"/>
          <w:lang w:val="id-ID"/>
        </w:rPr>
        <w:t xml:space="preserve"> Grafik kesenjangan kematangan tatakelola TIK</w:t>
      </w:r>
    </w:p>
    <w:p w:rsidR="008066AF" w:rsidRPr="008066AF" w:rsidRDefault="008066AF" w:rsidP="00312AB0">
      <w:pPr>
        <w:rPr>
          <w:sz w:val="20"/>
          <w:szCs w:val="20"/>
          <w:lang w:val="id-ID"/>
        </w:rPr>
      </w:pPr>
    </w:p>
    <w:p w:rsidR="008066AF" w:rsidRPr="008066AF" w:rsidRDefault="00A8116D" w:rsidP="00312AB0">
      <w:pPr>
        <w:rPr>
          <w:b/>
          <w:sz w:val="20"/>
          <w:szCs w:val="20"/>
          <w:lang w:val="id-ID"/>
        </w:rPr>
      </w:pPr>
      <w:r>
        <w:rPr>
          <w:b/>
          <w:sz w:val="20"/>
          <w:szCs w:val="20"/>
          <w:lang w:val="id-ID"/>
        </w:rPr>
        <w:t>E.</w:t>
      </w:r>
      <w:r w:rsidR="008066AF" w:rsidRPr="008066AF">
        <w:rPr>
          <w:b/>
          <w:sz w:val="20"/>
          <w:szCs w:val="20"/>
          <w:lang w:val="id-ID"/>
        </w:rPr>
        <w:t xml:space="preserve"> Rekomendasi Perbaikan Tatakelola</w:t>
      </w:r>
    </w:p>
    <w:p w:rsidR="008066AF" w:rsidRPr="008066AF" w:rsidRDefault="008066AF" w:rsidP="00312AB0">
      <w:pPr>
        <w:jc w:val="both"/>
        <w:rPr>
          <w:sz w:val="20"/>
          <w:szCs w:val="20"/>
          <w:lang w:val="id-ID"/>
        </w:rPr>
      </w:pPr>
      <w:r w:rsidRPr="008066AF">
        <w:rPr>
          <w:sz w:val="20"/>
          <w:szCs w:val="20"/>
          <w:lang w:val="id-ID"/>
        </w:rPr>
        <w:tab/>
        <w:t>Rekomendasi sementara untuk perbaikan tatakelola TIK agar dapat mencapat tingkat kematangan yang dihara</w:t>
      </w:r>
      <w:r w:rsidR="00380FE4">
        <w:rPr>
          <w:sz w:val="20"/>
          <w:szCs w:val="20"/>
          <w:lang w:val="id-ID"/>
        </w:rPr>
        <w:t>pkan ditampilkan pada Tabel 5.</w:t>
      </w:r>
      <w:r w:rsidRPr="008066AF">
        <w:rPr>
          <w:sz w:val="20"/>
          <w:szCs w:val="20"/>
          <w:lang w:val="id-ID"/>
        </w:rPr>
        <w:t xml:space="preserve"> </w:t>
      </w:r>
    </w:p>
    <w:p w:rsidR="008066AF" w:rsidRPr="008066AF" w:rsidRDefault="008066AF" w:rsidP="00312AB0">
      <w:pPr>
        <w:jc w:val="both"/>
        <w:rPr>
          <w:sz w:val="20"/>
          <w:szCs w:val="20"/>
          <w:lang w:val="id-ID"/>
        </w:rPr>
      </w:pPr>
    </w:p>
    <w:p w:rsidR="008066AF" w:rsidRPr="00BD150D" w:rsidRDefault="00380FE4" w:rsidP="00526CE3">
      <w:pPr>
        <w:jc w:val="center"/>
        <w:rPr>
          <w:sz w:val="18"/>
          <w:szCs w:val="20"/>
          <w:lang w:val="id-ID"/>
        </w:rPr>
      </w:pPr>
      <w:r>
        <w:rPr>
          <w:sz w:val="18"/>
          <w:szCs w:val="20"/>
          <w:lang w:val="id-ID"/>
        </w:rPr>
        <w:t xml:space="preserve">Tabel </w:t>
      </w:r>
      <w:r w:rsidR="008066AF" w:rsidRPr="00BD150D">
        <w:rPr>
          <w:sz w:val="18"/>
          <w:szCs w:val="20"/>
          <w:lang w:val="id-ID"/>
        </w:rPr>
        <w:t>5 Rekomendasi perbaikan tatakelola TIK</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0"/>
        <w:gridCol w:w="1226"/>
        <w:gridCol w:w="2977"/>
        <w:gridCol w:w="3544"/>
      </w:tblGrid>
      <w:tr w:rsidR="008066AF" w:rsidRPr="00BD150D" w:rsidTr="00BD150D">
        <w:trPr>
          <w:trHeight w:val="304"/>
        </w:trPr>
        <w:tc>
          <w:tcPr>
            <w:tcW w:w="1150" w:type="dxa"/>
            <w:vAlign w:val="center"/>
          </w:tcPr>
          <w:p w:rsidR="008066AF" w:rsidRPr="00BD150D" w:rsidRDefault="008066AF" w:rsidP="00312AB0">
            <w:pPr>
              <w:jc w:val="center"/>
              <w:rPr>
                <w:b/>
                <w:sz w:val="18"/>
                <w:szCs w:val="20"/>
              </w:rPr>
            </w:pPr>
            <w:r w:rsidRPr="00BD150D">
              <w:rPr>
                <w:b/>
                <w:sz w:val="18"/>
                <w:szCs w:val="20"/>
              </w:rPr>
              <w:t>No proses</w:t>
            </w:r>
          </w:p>
        </w:tc>
        <w:tc>
          <w:tcPr>
            <w:tcW w:w="1226" w:type="dxa"/>
            <w:vAlign w:val="center"/>
          </w:tcPr>
          <w:p w:rsidR="008066AF" w:rsidRPr="00BD150D" w:rsidRDefault="008066AF" w:rsidP="00312AB0">
            <w:pPr>
              <w:jc w:val="center"/>
              <w:rPr>
                <w:b/>
                <w:sz w:val="18"/>
                <w:szCs w:val="20"/>
              </w:rPr>
            </w:pPr>
            <w:r w:rsidRPr="00BD150D">
              <w:rPr>
                <w:b/>
                <w:sz w:val="18"/>
                <w:szCs w:val="20"/>
              </w:rPr>
              <w:t>Proses</w:t>
            </w:r>
          </w:p>
        </w:tc>
        <w:tc>
          <w:tcPr>
            <w:tcW w:w="2977" w:type="dxa"/>
            <w:vAlign w:val="center"/>
          </w:tcPr>
          <w:p w:rsidR="008066AF" w:rsidRPr="00BD150D" w:rsidRDefault="008066AF" w:rsidP="00312AB0">
            <w:pPr>
              <w:jc w:val="center"/>
              <w:rPr>
                <w:b/>
                <w:sz w:val="18"/>
                <w:szCs w:val="20"/>
              </w:rPr>
            </w:pPr>
            <w:r w:rsidRPr="00BD150D">
              <w:rPr>
                <w:b/>
                <w:sz w:val="18"/>
                <w:szCs w:val="20"/>
              </w:rPr>
              <w:t>Ketereangan proses</w:t>
            </w:r>
          </w:p>
        </w:tc>
        <w:tc>
          <w:tcPr>
            <w:tcW w:w="3544" w:type="dxa"/>
            <w:vAlign w:val="center"/>
          </w:tcPr>
          <w:p w:rsidR="008066AF" w:rsidRPr="00BD150D" w:rsidRDefault="008066AF" w:rsidP="00312AB0">
            <w:pPr>
              <w:jc w:val="center"/>
              <w:rPr>
                <w:b/>
                <w:sz w:val="18"/>
                <w:szCs w:val="20"/>
              </w:rPr>
            </w:pPr>
            <w:r w:rsidRPr="00BD150D">
              <w:rPr>
                <w:b/>
                <w:sz w:val="18"/>
                <w:szCs w:val="20"/>
              </w:rPr>
              <w:t>Tujuan proses</w:t>
            </w:r>
          </w:p>
        </w:tc>
      </w:tr>
      <w:tr w:rsidR="008066AF" w:rsidRPr="00BD150D" w:rsidTr="00BD150D">
        <w:trPr>
          <w:trHeight w:val="704"/>
        </w:trPr>
        <w:tc>
          <w:tcPr>
            <w:tcW w:w="1150" w:type="dxa"/>
          </w:tcPr>
          <w:p w:rsidR="008066AF" w:rsidRPr="00BD150D" w:rsidRDefault="008066AF" w:rsidP="00312AB0">
            <w:pPr>
              <w:jc w:val="both"/>
              <w:rPr>
                <w:sz w:val="18"/>
                <w:szCs w:val="20"/>
              </w:rPr>
            </w:pPr>
            <w:r w:rsidRPr="00BD150D">
              <w:rPr>
                <w:sz w:val="18"/>
                <w:szCs w:val="20"/>
              </w:rPr>
              <w:t>EDM01</w:t>
            </w:r>
          </w:p>
        </w:tc>
        <w:tc>
          <w:tcPr>
            <w:tcW w:w="1226" w:type="dxa"/>
          </w:tcPr>
          <w:p w:rsidR="008066AF" w:rsidRPr="00BD150D" w:rsidRDefault="008066AF" w:rsidP="00312AB0">
            <w:pPr>
              <w:jc w:val="both"/>
              <w:rPr>
                <w:sz w:val="18"/>
                <w:szCs w:val="20"/>
              </w:rPr>
            </w:pPr>
            <w:r w:rsidRPr="00BD150D">
              <w:rPr>
                <w:sz w:val="18"/>
                <w:szCs w:val="20"/>
              </w:rPr>
              <w:t>Memastikan terdapat pengaturan dan pemeliharaan kerangka kerja tata kelola</w:t>
            </w:r>
          </w:p>
        </w:tc>
        <w:tc>
          <w:tcPr>
            <w:tcW w:w="2977" w:type="dxa"/>
          </w:tcPr>
          <w:p w:rsidR="008066AF" w:rsidRPr="00BD150D" w:rsidRDefault="008066AF" w:rsidP="00312AB0">
            <w:pPr>
              <w:jc w:val="both"/>
              <w:rPr>
                <w:sz w:val="18"/>
                <w:szCs w:val="20"/>
              </w:rPr>
            </w:pPr>
            <w:r w:rsidRPr="00BD150D">
              <w:rPr>
                <w:sz w:val="18"/>
                <w:szCs w:val="20"/>
              </w:rPr>
              <w:t>Memastikan dan men definisikan kebutuhan akan tata kelola TIK di rumah sakit Secara tepat sasaran serta efektif dalam mengatur struktur, prinsip, proses dan praktek yang memungkinkan yang didukung oleh otoritas dan tanggung jawab yang jelas dalam memenuhi visi, misi dan tujuan  Rs.</w:t>
            </w:r>
          </w:p>
        </w:tc>
        <w:tc>
          <w:tcPr>
            <w:tcW w:w="3544" w:type="dxa"/>
          </w:tcPr>
          <w:p w:rsidR="008066AF" w:rsidRPr="00BD150D" w:rsidRDefault="008066AF" w:rsidP="00312AB0">
            <w:pPr>
              <w:jc w:val="both"/>
              <w:rPr>
                <w:sz w:val="18"/>
                <w:szCs w:val="20"/>
              </w:rPr>
            </w:pPr>
            <w:r w:rsidRPr="00BD150D">
              <w:rPr>
                <w:sz w:val="18"/>
                <w:szCs w:val="20"/>
              </w:rPr>
              <w:t xml:space="preserve">Mempersiapkan pendekatan yang tetap, terintegrasi dan setepatan dengan pendekatan tata kelola RS. Untuk memastikan bahwa keputusan yang berkaitan dengan TI khusus komputer dibuat sejalan dengan strategi dan tujuan RS, memastikan bahwa proses yang berkaitan dengan TIK diawasi secara efektif dan transparan, sesuai yang bejalan dengan persyaratan aturan, dan memenuhi syarat tata kelola TIK dari </w:t>
            </w:r>
            <w:r w:rsidRPr="00BD150D">
              <w:rPr>
                <w:i/>
                <w:sz w:val="18"/>
                <w:szCs w:val="20"/>
              </w:rPr>
              <w:t>stakeholder</w:t>
            </w:r>
            <w:r w:rsidRPr="00BD150D">
              <w:rPr>
                <w:sz w:val="18"/>
                <w:szCs w:val="20"/>
              </w:rPr>
              <w:t>.</w:t>
            </w:r>
          </w:p>
        </w:tc>
      </w:tr>
      <w:tr w:rsidR="008066AF" w:rsidRPr="00BD150D" w:rsidTr="00BD150D">
        <w:trPr>
          <w:trHeight w:val="1566"/>
        </w:trPr>
        <w:tc>
          <w:tcPr>
            <w:tcW w:w="1150" w:type="dxa"/>
          </w:tcPr>
          <w:p w:rsidR="008066AF" w:rsidRPr="00BD150D" w:rsidRDefault="008066AF" w:rsidP="00312AB0">
            <w:pPr>
              <w:jc w:val="both"/>
              <w:rPr>
                <w:sz w:val="18"/>
                <w:szCs w:val="20"/>
              </w:rPr>
            </w:pPr>
            <w:r w:rsidRPr="00BD150D">
              <w:rPr>
                <w:sz w:val="18"/>
                <w:szCs w:val="20"/>
              </w:rPr>
              <w:lastRenderedPageBreak/>
              <w:t>EDM02</w:t>
            </w:r>
          </w:p>
        </w:tc>
        <w:tc>
          <w:tcPr>
            <w:tcW w:w="1226" w:type="dxa"/>
          </w:tcPr>
          <w:p w:rsidR="008066AF" w:rsidRPr="00BD150D" w:rsidRDefault="008066AF" w:rsidP="00312AB0">
            <w:pPr>
              <w:jc w:val="both"/>
              <w:rPr>
                <w:sz w:val="18"/>
                <w:szCs w:val="20"/>
              </w:rPr>
            </w:pPr>
            <w:r w:rsidRPr="00BD150D">
              <w:rPr>
                <w:sz w:val="18"/>
                <w:szCs w:val="20"/>
              </w:rPr>
              <w:t xml:space="preserve">Memastikan mendapatkan keuntungan  </w:t>
            </w:r>
          </w:p>
        </w:tc>
        <w:tc>
          <w:tcPr>
            <w:tcW w:w="2977" w:type="dxa"/>
          </w:tcPr>
          <w:p w:rsidR="008066AF" w:rsidRPr="00BD150D" w:rsidRDefault="008066AF" w:rsidP="00312AB0">
            <w:pPr>
              <w:autoSpaceDE w:val="0"/>
              <w:autoSpaceDN w:val="0"/>
              <w:adjustRightInd w:val="0"/>
              <w:jc w:val="both"/>
              <w:rPr>
                <w:sz w:val="18"/>
                <w:szCs w:val="20"/>
              </w:rPr>
            </w:pPr>
            <w:r w:rsidRPr="00BD150D">
              <w:rPr>
                <w:sz w:val="18"/>
                <w:szCs w:val="20"/>
              </w:rPr>
              <w:t>Meningkatkan kontri</w:t>
            </w:r>
            <w:r w:rsidRPr="00BD150D">
              <w:rPr>
                <w:sz w:val="18"/>
                <w:szCs w:val="20"/>
                <w:lang w:val="id-ID"/>
              </w:rPr>
              <w:t>-</w:t>
            </w:r>
            <w:r w:rsidRPr="00BD150D">
              <w:rPr>
                <w:sz w:val="18"/>
                <w:szCs w:val="20"/>
              </w:rPr>
              <w:t>busi nilai bisnis dari proses bisnis, layanan TIK dan aset TIK yang dihasilkan dari investasi TIK yang dilakukan oleh RS dengan anggaran yang efesien dan kecepatan TIK itu sendiri.</w:t>
            </w:r>
          </w:p>
          <w:p w:rsidR="008066AF" w:rsidRPr="00BD150D" w:rsidRDefault="008066AF" w:rsidP="00312AB0">
            <w:pPr>
              <w:jc w:val="both"/>
              <w:rPr>
                <w:sz w:val="18"/>
                <w:szCs w:val="20"/>
              </w:rPr>
            </w:pPr>
          </w:p>
        </w:tc>
        <w:tc>
          <w:tcPr>
            <w:tcW w:w="3544" w:type="dxa"/>
          </w:tcPr>
          <w:p w:rsidR="008066AF" w:rsidRPr="00BD150D" w:rsidRDefault="008066AF" w:rsidP="00312AB0">
            <w:pPr>
              <w:jc w:val="both"/>
              <w:rPr>
                <w:sz w:val="18"/>
                <w:szCs w:val="20"/>
              </w:rPr>
            </w:pPr>
            <w:r w:rsidRPr="00BD150D">
              <w:rPr>
                <w:sz w:val="18"/>
                <w:szCs w:val="20"/>
              </w:rPr>
              <w:t>Melindungi nilai keuntungan yang optimal dari inisiatif pemanfaatan TIK (jasa dan aset) di RS dengan cara memberikan solusi dan layanan yang hemat biaya, memperhitung</w:t>
            </w:r>
            <w:r w:rsidRPr="00BD150D">
              <w:rPr>
                <w:sz w:val="18"/>
                <w:szCs w:val="20"/>
                <w:lang w:val="id-ID"/>
              </w:rPr>
              <w:t>k</w:t>
            </w:r>
            <w:r w:rsidRPr="00BD150D">
              <w:rPr>
                <w:sz w:val="18"/>
                <w:szCs w:val="20"/>
              </w:rPr>
              <w:t>an biaya secara Akurat dan menentukan proyeksi keuntungannya, sehingga kebutuhan bisnis yang didukung dapat dicapai secara efektif dan efisien.</w:t>
            </w:r>
          </w:p>
        </w:tc>
      </w:tr>
      <w:tr w:rsidR="008066AF" w:rsidRPr="00BD150D" w:rsidTr="00BD150D">
        <w:trPr>
          <w:trHeight w:val="70"/>
        </w:trPr>
        <w:tc>
          <w:tcPr>
            <w:tcW w:w="1150" w:type="dxa"/>
          </w:tcPr>
          <w:p w:rsidR="008066AF" w:rsidRPr="00BD150D" w:rsidRDefault="008066AF" w:rsidP="00312AB0">
            <w:pPr>
              <w:jc w:val="both"/>
              <w:rPr>
                <w:sz w:val="18"/>
                <w:szCs w:val="20"/>
              </w:rPr>
            </w:pPr>
            <w:r w:rsidRPr="00BD150D">
              <w:rPr>
                <w:sz w:val="18"/>
                <w:szCs w:val="20"/>
              </w:rPr>
              <w:t>EDM03</w:t>
            </w:r>
          </w:p>
        </w:tc>
        <w:tc>
          <w:tcPr>
            <w:tcW w:w="1226" w:type="dxa"/>
          </w:tcPr>
          <w:p w:rsidR="008066AF" w:rsidRPr="00BD150D" w:rsidRDefault="008066AF" w:rsidP="00312AB0">
            <w:pPr>
              <w:jc w:val="both"/>
              <w:rPr>
                <w:sz w:val="18"/>
                <w:szCs w:val="20"/>
              </w:rPr>
            </w:pPr>
            <w:r w:rsidRPr="00BD150D">
              <w:rPr>
                <w:sz w:val="18"/>
                <w:szCs w:val="20"/>
              </w:rPr>
              <w:t>Memastikan optimalisasi risiko</w:t>
            </w:r>
          </w:p>
        </w:tc>
        <w:tc>
          <w:tcPr>
            <w:tcW w:w="2977" w:type="dxa"/>
          </w:tcPr>
          <w:p w:rsidR="008066AF" w:rsidRPr="00BD150D" w:rsidRDefault="008066AF" w:rsidP="00312AB0">
            <w:pPr>
              <w:jc w:val="both"/>
              <w:rPr>
                <w:sz w:val="18"/>
                <w:szCs w:val="20"/>
              </w:rPr>
            </w:pPr>
            <w:r w:rsidRPr="00BD150D">
              <w:rPr>
                <w:sz w:val="18"/>
                <w:szCs w:val="20"/>
              </w:rPr>
              <w:t>Memastikan terdapat risiko yang bisa diterima di RS dan toleransinya sudah di mengerti , setidaknya   di artikulasika</w:t>
            </w:r>
            <w:r w:rsidRPr="00BD150D">
              <w:rPr>
                <w:sz w:val="18"/>
                <w:szCs w:val="20"/>
                <w:lang w:val="id-ID"/>
              </w:rPr>
              <w:t>n</w:t>
            </w:r>
            <w:r w:rsidRPr="00BD150D">
              <w:rPr>
                <w:sz w:val="18"/>
                <w:szCs w:val="20"/>
              </w:rPr>
              <w:t>, dipelajari  dikomuni</w:t>
            </w:r>
            <w:r w:rsidRPr="00BD150D">
              <w:rPr>
                <w:sz w:val="18"/>
                <w:szCs w:val="20"/>
                <w:lang w:val="id-ID"/>
              </w:rPr>
              <w:t>-</w:t>
            </w:r>
            <w:r w:rsidRPr="00BD150D">
              <w:rPr>
                <w:sz w:val="18"/>
                <w:szCs w:val="20"/>
              </w:rPr>
              <w:t>kasikan, serta risiko perubahan nilai RS terkait dengan penggunaan TIK dapat diidentifikasi dan dikelola sebaik mungkin.</w:t>
            </w:r>
          </w:p>
        </w:tc>
        <w:tc>
          <w:tcPr>
            <w:tcW w:w="3544" w:type="dxa"/>
          </w:tcPr>
          <w:p w:rsidR="008066AF" w:rsidRPr="00BD150D" w:rsidRDefault="008066AF" w:rsidP="00312AB0">
            <w:pPr>
              <w:autoSpaceDE w:val="0"/>
              <w:autoSpaceDN w:val="0"/>
              <w:adjustRightInd w:val="0"/>
              <w:jc w:val="both"/>
              <w:rPr>
                <w:sz w:val="18"/>
                <w:szCs w:val="20"/>
              </w:rPr>
            </w:pPr>
            <w:r w:rsidRPr="00BD150D">
              <w:rPr>
                <w:color w:val="000000"/>
                <w:sz w:val="18"/>
                <w:szCs w:val="20"/>
              </w:rPr>
              <w:t>Memastikan terdapat risiko TIK RS yang terkait tidak melebihi batas toleransinya. Agar dampak TIK yang berisiko pada nilai RS dapat diidentifikasi dan di kelola untuk meminimalisasir potensi kegagalan tata kelola kuhsusnya tata kelola TIK di  RS.</w:t>
            </w:r>
          </w:p>
        </w:tc>
      </w:tr>
      <w:tr w:rsidR="008066AF" w:rsidRPr="00BD150D" w:rsidTr="00BD150D">
        <w:trPr>
          <w:trHeight w:val="1255"/>
        </w:trPr>
        <w:tc>
          <w:tcPr>
            <w:tcW w:w="1150" w:type="dxa"/>
          </w:tcPr>
          <w:p w:rsidR="008066AF" w:rsidRPr="00BD150D" w:rsidRDefault="008066AF" w:rsidP="00312AB0">
            <w:pPr>
              <w:jc w:val="both"/>
              <w:rPr>
                <w:sz w:val="18"/>
                <w:szCs w:val="20"/>
              </w:rPr>
            </w:pPr>
            <w:r w:rsidRPr="00BD150D">
              <w:rPr>
                <w:sz w:val="18"/>
                <w:szCs w:val="20"/>
              </w:rPr>
              <w:t>EDM04</w:t>
            </w:r>
          </w:p>
        </w:tc>
        <w:tc>
          <w:tcPr>
            <w:tcW w:w="1226" w:type="dxa"/>
          </w:tcPr>
          <w:p w:rsidR="008066AF" w:rsidRPr="00BD150D" w:rsidRDefault="008066AF" w:rsidP="00312AB0">
            <w:pPr>
              <w:jc w:val="both"/>
              <w:rPr>
                <w:sz w:val="18"/>
                <w:szCs w:val="20"/>
              </w:rPr>
            </w:pPr>
            <w:r w:rsidRPr="00BD150D">
              <w:rPr>
                <w:sz w:val="18"/>
                <w:szCs w:val="20"/>
              </w:rPr>
              <w:t>Memastikan optimalisasi sumber daya</w:t>
            </w:r>
          </w:p>
        </w:tc>
        <w:tc>
          <w:tcPr>
            <w:tcW w:w="2977" w:type="dxa"/>
          </w:tcPr>
          <w:p w:rsidR="008066AF" w:rsidRPr="00BD150D" w:rsidRDefault="008066AF" w:rsidP="00312AB0">
            <w:pPr>
              <w:jc w:val="both"/>
              <w:rPr>
                <w:sz w:val="18"/>
                <w:szCs w:val="20"/>
              </w:rPr>
            </w:pPr>
            <w:r w:rsidRPr="00BD150D">
              <w:rPr>
                <w:sz w:val="18"/>
                <w:szCs w:val="20"/>
              </w:rPr>
              <w:t>Memastikan terdapat kemampuan yang berkaitan dengan TIK yang cukup memadai (orang, proses dan teknologi) serta tersedianya sumber daya manusia di linkungan TIK untuk mendukung tujuan RS secara efektif dengan biaya yang optimal.</w:t>
            </w:r>
          </w:p>
        </w:tc>
        <w:tc>
          <w:tcPr>
            <w:tcW w:w="3544" w:type="dxa"/>
          </w:tcPr>
          <w:p w:rsidR="008066AF" w:rsidRPr="00BD150D" w:rsidRDefault="008066AF" w:rsidP="00312AB0">
            <w:pPr>
              <w:jc w:val="both"/>
              <w:rPr>
                <w:sz w:val="18"/>
                <w:szCs w:val="20"/>
              </w:rPr>
            </w:pPr>
            <w:r w:rsidRPr="00BD150D">
              <w:rPr>
                <w:sz w:val="18"/>
                <w:szCs w:val="20"/>
              </w:rPr>
              <w:t>Memastikan terdapat kebutuhan sumber daya perusahaan terpenuhi dengan cara yang seoptimal nya, dengan biaya TIK dioptimalkan, memungkinan peningkatan realisasi keuntungan, serta kesiapan untuk perubahan di masa depan.</w:t>
            </w:r>
          </w:p>
        </w:tc>
      </w:tr>
      <w:tr w:rsidR="008066AF" w:rsidRPr="00BD150D" w:rsidTr="00BD150D">
        <w:trPr>
          <w:trHeight w:val="1399"/>
        </w:trPr>
        <w:tc>
          <w:tcPr>
            <w:tcW w:w="1150" w:type="dxa"/>
          </w:tcPr>
          <w:p w:rsidR="008066AF" w:rsidRPr="00BD150D" w:rsidRDefault="008066AF" w:rsidP="00312AB0">
            <w:pPr>
              <w:jc w:val="both"/>
              <w:rPr>
                <w:sz w:val="18"/>
                <w:szCs w:val="20"/>
              </w:rPr>
            </w:pPr>
            <w:r w:rsidRPr="00BD150D">
              <w:rPr>
                <w:sz w:val="18"/>
                <w:szCs w:val="20"/>
              </w:rPr>
              <w:t>EDM05</w:t>
            </w:r>
          </w:p>
        </w:tc>
        <w:tc>
          <w:tcPr>
            <w:tcW w:w="1226" w:type="dxa"/>
          </w:tcPr>
          <w:p w:rsidR="008066AF" w:rsidRPr="00BD150D" w:rsidRDefault="008066AF" w:rsidP="00312AB0">
            <w:pPr>
              <w:jc w:val="both"/>
              <w:rPr>
                <w:sz w:val="18"/>
                <w:szCs w:val="20"/>
              </w:rPr>
            </w:pPr>
            <w:r w:rsidRPr="00BD150D">
              <w:rPr>
                <w:sz w:val="18"/>
                <w:szCs w:val="20"/>
              </w:rPr>
              <w:t xml:space="preserve">Memastikan transaparansi kepada </w:t>
            </w:r>
            <w:r w:rsidRPr="00BD150D">
              <w:rPr>
                <w:i/>
                <w:sz w:val="18"/>
                <w:szCs w:val="20"/>
              </w:rPr>
              <w:t>stakeholder</w:t>
            </w:r>
          </w:p>
        </w:tc>
        <w:tc>
          <w:tcPr>
            <w:tcW w:w="2977" w:type="dxa"/>
          </w:tcPr>
          <w:p w:rsidR="008066AF" w:rsidRPr="00BD150D" w:rsidRDefault="008066AF" w:rsidP="00312AB0">
            <w:pPr>
              <w:jc w:val="both"/>
              <w:rPr>
                <w:sz w:val="18"/>
                <w:szCs w:val="20"/>
              </w:rPr>
            </w:pPr>
            <w:r w:rsidRPr="00BD150D">
              <w:rPr>
                <w:sz w:val="18"/>
                <w:szCs w:val="20"/>
              </w:rPr>
              <w:t xml:space="preserve">Memastikan bahwa adanya transparansi kinerja TIk di RS, kesesuaian pengukuran dan pelaporannya. Mendapatkan persetujuan dari </w:t>
            </w:r>
            <w:r w:rsidRPr="00BD150D">
              <w:rPr>
                <w:i/>
                <w:sz w:val="18"/>
                <w:szCs w:val="20"/>
              </w:rPr>
              <w:t>stakeholder</w:t>
            </w:r>
            <w:r w:rsidRPr="00BD150D">
              <w:rPr>
                <w:sz w:val="18"/>
                <w:szCs w:val="20"/>
              </w:rPr>
              <w:t xml:space="preserve"> mengenai tujuan, metrik dan tindakan perbaikan yang diperlukan.</w:t>
            </w:r>
          </w:p>
        </w:tc>
        <w:tc>
          <w:tcPr>
            <w:tcW w:w="3544" w:type="dxa"/>
          </w:tcPr>
          <w:p w:rsidR="008066AF" w:rsidRPr="00BD150D" w:rsidRDefault="008066AF" w:rsidP="00312AB0">
            <w:pPr>
              <w:jc w:val="both"/>
              <w:rPr>
                <w:sz w:val="18"/>
                <w:szCs w:val="20"/>
              </w:rPr>
            </w:pPr>
            <w:r w:rsidRPr="00BD150D">
              <w:rPr>
                <w:sz w:val="18"/>
                <w:szCs w:val="20"/>
              </w:rPr>
              <w:t xml:space="preserve">Memastikan adanya komunikasi dengan para </w:t>
            </w:r>
            <w:r w:rsidRPr="00BD150D">
              <w:rPr>
                <w:i/>
                <w:sz w:val="18"/>
                <w:szCs w:val="20"/>
              </w:rPr>
              <w:t>stakeholder</w:t>
            </w:r>
            <w:r w:rsidRPr="00BD150D">
              <w:rPr>
                <w:sz w:val="18"/>
                <w:szCs w:val="20"/>
              </w:rPr>
              <w:t xml:space="preserve"> efektif dan tepat waktu,dengan tujuan dasar pelaporan untuk meningkatkan kinerja, mengidentifikasi area untuk perbaikan, dan menegaskan bahwa tujuan dan strategi yang berkaitan dengan TIK sejalan dengan strategi RS.</w:t>
            </w:r>
          </w:p>
        </w:tc>
      </w:tr>
    </w:tbl>
    <w:p w:rsidR="008066AF" w:rsidRPr="00BD150D" w:rsidRDefault="008066AF" w:rsidP="008066AF">
      <w:pPr>
        <w:spacing w:line="360" w:lineRule="auto"/>
        <w:rPr>
          <w:sz w:val="18"/>
          <w:szCs w:val="20"/>
          <w:lang w:val="id-ID"/>
        </w:rPr>
      </w:pPr>
    </w:p>
    <w:p w:rsidR="0066720C" w:rsidRPr="0066720C" w:rsidRDefault="0066720C" w:rsidP="0066720C">
      <w:pPr>
        <w:spacing w:after="120"/>
        <w:contextualSpacing/>
        <w:jc w:val="both"/>
        <w:rPr>
          <w:b/>
          <w:sz w:val="20"/>
          <w:szCs w:val="20"/>
        </w:rPr>
      </w:pPr>
      <w:r w:rsidRPr="0066720C">
        <w:rPr>
          <w:b/>
          <w:sz w:val="20"/>
          <w:szCs w:val="20"/>
        </w:rPr>
        <w:t>V.  SIMPULAN DAN SARAN</w:t>
      </w:r>
    </w:p>
    <w:p w:rsidR="00BD150D" w:rsidRPr="00BD150D" w:rsidRDefault="00F058CA" w:rsidP="00BD150D">
      <w:pPr>
        <w:pStyle w:val="ListParagraph1"/>
        <w:spacing w:after="120" w:line="240" w:lineRule="auto"/>
        <w:ind w:left="0"/>
        <w:jc w:val="both"/>
        <w:rPr>
          <w:rFonts w:ascii="Times New Roman" w:hAnsi="Times New Roman"/>
          <w:b/>
          <w:sz w:val="20"/>
          <w:szCs w:val="24"/>
          <w:lang w:val="id-ID"/>
        </w:rPr>
      </w:pPr>
      <w:r>
        <w:rPr>
          <w:rFonts w:ascii="Times New Roman" w:hAnsi="Times New Roman"/>
          <w:b/>
          <w:sz w:val="20"/>
          <w:szCs w:val="24"/>
          <w:lang w:val="id-ID"/>
        </w:rPr>
        <w:t>A.</w:t>
      </w:r>
      <w:r w:rsidR="00BD150D" w:rsidRPr="00BD150D">
        <w:rPr>
          <w:rFonts w:ascii="Times New Roman" w:hAnsi="Times New Roman"/>
          <w:b/>
          <w:sz w:val="20"/>
          <w:szCs w:val="24"/>
          <w:lang w:val="id-ID"/>
        </w:rPr>
        <w:t xml:space="preserve"> Kesimpulan</w:t>
      </w:r>
    </w:p>
    <w:p w:rsidR="00BD150D" w:rsidRPr="00BD150D" w:rsidRDefault="00BD150D" w:rsidP="00F058CA">
      <w:pPr>
        <w:spacing w:after="120"/>
        <w:ind w:firstLine="360"/>
        <w:jc w:val="both"/>
        <w:rPr>
          <w:sz w:val="20"/>
          <w:lang w:val="id-ID"/>
        </w:rPr>
      </w:pPr>
      <w:r w:rsidRPr="00BD150D">
        <w:rPr>
          <w:sz w:val="20"/>
        </w:rPr>
        <w:t xml:space="preserve">Berdasarkan  proses evaluasi yang telah dilakukan maka dapat disimpulkan </w:t>
      </w:r>
      <w:r w:rsidRPr="00BD150D">
        <w:rPr>
          <w:sz w:val="20"/>
          <w:lang w:val="id-ID"/>
        </w:rPr>
        <w:t>beberapa hal sebagai berikut:</w:t>
      </w:r>
    </w:p>
    <w:p w:rsidR="00BD150D" w:rsidRPr="00BD150D" w:rsidRDefault="00BD150D" w:rsidP="00BD150D">
      <w:pPr>
        <w:pStyle w:val="ListParagraph"/>
        <w:numPr>
          <w:ilvl w:val="0"/>
          <w:numId w:val="12"/>
        </w:numPr>
        <w:tabs>
          <w:tab w:val="left" w:pos="142"/>
        </w:tabs>
        <w:spacing w:after="120"/>
        <w:jc w:val="both"/>
        <w:rPr>
          <w:sz w:val="20"/>
        </w:rPr>
      </w:pPr>
      <w:r w:rsidRPr="00BD150D">
        <w:rPr>
          <w:sz w:val="20"/>
          <w:lang w:val="id-ID"/>
        </w:rPr>
        <w:t>H</w:t>
      </w:r>
      <w:r w:rsidRPr="00BD150D">
        <w:rPr>
          <w:sz w:val="20"/>
        </w:rPr>
        <w:t>asil dari rekapitulasi tingkat model capability skala penelitian evaluasi tata kelola T</w:t>
      </w:r>
      <w:r w:rsidR="000111EF">
        <w:rPr>
          <w:sz w:val="20"/>
          <w:lang w:val="id-ID"/>
        </w:rPr>
        <w:t>IK</w:t>
      </w:r>
      <w:r w:rsidRPr="00BD150D">
        <w:rPr>
          <w:sz w:val="20"/>
        </w:rPr>
        <w:t xml:space="preserve"> di R</w:t>
      </w:r>
      <w:r w:rsidRPr="00BD150D">
        <w:rPr>
          <w:sz w:val="20"/>
          <w:lang w:val="id-ID"/>
        </w:rPr>
        <w:t>S</w:t>
      </w:r>
      <w:r w:rsidR="000111EF">
        <w:rPr>
          <w:sz w:val="20"/>
          <w:lang w:val="id-ID"/>
        </w:rPr>
        <w:t>KRA</w:t>
      </w:r>
      <w:r w:rsidRPr="00BD150D">
        <w:rPr>
          <w:sz w:val="20"/>
        </w:rPr>
        <w:t xml:space="preserve"> yaitu skala 2 (managed process) dengan nilai </w:t>
      </w:r>
      <w:r w:rsidRPr="00BD150D">
        <w:rPr>
          <w:sz w:val="20"/>
          <w:lang w:val="id-ID"/>
        </w:rPr>
        <w:t>2,14</w:t>
      </w:r>
      <w:r w:rsidRPr="00BD150D">
        <w:rPr>
          <w:sz w:val="20"/>
        </w:rPr>
        <w:t xml:space="preserve">, yang artinya bahwa </w:t>
      </w:r>
      <w:r w:rsidRPr="00BD150D">
        <w:rPr>
          <w:sz w:val="20"/>
          <w:lang w:val="id-ID"/>
        </w:rPr>
        <w:t>sudah ada perencanaan</w:t>
      </w:r>
      <w:r w:rsidRPr="00BD150D">
        <w:rPr>
          <w:sz w:val="20"/>
        </w:rPr>
        <w:t xml:space="preserve"> dan penerapan tata kelola </w:t>
      </w:r>
      <w:r w:rsidR="000111EF">
        <w:rPr>
          <w:sz w:val="20"/>
          <w:lang w:val="id-ID"/>
        </w:rPr>
        <w:t>TIK</w:t>
      </w:r>
      <w:r w:rsidRPr="00BD150D">
        <w:rPr>
          <w:sz w:val="20"/>
        </w:rPr>
        <w:t xml:space="preserve"> saat ini menggunakan proses perencanaan yang telah ditentukan oleh </w:t>
      </w:r>
      <w:r w:rsidRPr="00BD150D">
        <w:rPr>
          <w:sz w:val="20"/>
          <w:lang w:val="id-ID"/>
        </w:rPr>
        <w:t>K</w:t>
      </w:r>
      <w:r w:rsidRPr="00BD150D">
        <w:rPr>
          <w:sz w:val="20"/>
        </w:rPr>
        <w:t>emenkes (</w:t>
      </w:r>
      <w:r w:rsidRPr="00BD150D">
        <w:rPr>
          <w:sz w:val="20"/>
          <w:lang w:val="id-ID"/>
        </w:rPr>
        <w:t>K</w:t>
      </w:r>
      <w:r w:rsidRPr="00BD150D">
        <w:rPr>
          <w:sz w:val="20"/>
        </w:rPr>
        <w:t xml:space="preserve">ementerian </w:t>
      </w:r>
      <w:r w:rsidRPr="00BD150D">
        <w:rPr>
          <w:sz w:val="20"/>
          <w:lang w:val="id-ID"/>
        </w:rPr>
        <w:t>K</w:t>
      </w:r>
      <w:r w:rsidRPr="00BD150D">
        <w:rPr>
          <w:sz w:val="20"/>
        </w:rPr>
        <w:t xml:space="preserve">esehatan), dan sudah mencapai target yang diharapkan. Akan tetapi masih </w:t>
      </w:r>
      <w:r w:rsidRPr="00BD150D">
        <w:rPr>
          <w:sz w:val="20"/>
          <w:lang w:val="id-ID"/>
        </w:rPr>
        <w:t xml:space="preserve">belum menyeluruh untuk semua aspek </w:t>
      </w:r>
      <w:r w:rsidRPr="00BD150D">
        <w:rPr>
          <w:sz w:val="20"/>
        </w:rPr>
        <w:t>Tekologi Informasi</w:t>
      </w:r>
      <w:r w:rsidRPr="00BD150D">
        <w:rPr>
          <w:sz w:val="20"/>
          <w:lang w:val="id-ID"/>
        </w:rPr>
        <w:t xml:space="preserve">. Sangat diharapkan agar tatakelola juga sudah dapat melakukan prediksi untuk setiap proses dan aktivitas yang berkaitan dengan TIK. </w:t>
      </w:r>
    </w:p>
    <w:p w:rsidR="00BD150D" w:rsidRPr="00BD150D" w:rsidRDefault="00BD150D" w:rsidP="00BD150D">
      <w:pPr>
        <w:pStyle w:val="ListParagraph"/>
        <w:numPr>
          <w:ilvl w:val="0"/>
          <w:numId w:val="12"/>
        </w:numPr>
        <w:tabs>
          <w:tab w:val="left" w:pos="142"/>
        </w:tabs>
        <w:spacing w:after="120"/>
        <w:jc w:val="both"/>
        <w:rPr>
          <w:sz w:val="20"/>
        </w:rPr>
      </w:pPr>
      <w:r w:rsidRPr="00BD150D">
        <w:rPr>
          <w:sz w:val="20"/>
          <w:lang w:val="id-ID"/>
        </w:rPr>
        <w:t>P</w:t>
      </w:r>
      <w:r w:rsidRPr="00BD150D">
        <w:rPr>
          <w:sz w:val="20"/>
        </w:rPr>
        <w:t xml:space="preserve">erbaikan kinerja tata kelola teknologi informasi komputer dapat ditingkatkan dengan menggunakan kerangka kerja COBIT 5 terutama dalam  menetapkan langkah-langkah perbaikan aktivitas yang dapat dikerjakan dalam tata kelola </w:t>
      </w:r>
      <w:r w:rsidR="000111EF">
        <w:rPr>
          <w:sz w:val="20"/>
          <w:lang w:val="id-ID"/>
        </w:rPr>
        <w:t>TIK</w:t>
      </w:r>
      <w:r w:rsidRPr="00BD150D">
        <w:rPr>
          <w:sz w:val="20"/>
        </w:rPr>
        <w:t xml:space="preserve"> di RS</w:t>
      </w:r>
      <w:r w:rsidR="000111EF">
        <w:rPr>
          <w:sz w:val="20"/>
          <w:lang w:val="id-ID"/>
        </w:rPr>
        <w:t>KRA</w:t>
      </w:r>
      <w:r w:rsidRPr="00BD150D">
        <w:rPr>
          <w:sz w:val="20"/>
        </w:rPr>
        <w:t>.</w:t>
      </w:r>
    </w:p>
    <w:p w:rsidR="00BD150D" w:rsidRPr="00BD150D" w:rsidRDefault="00BD150D" w:rsidP="00BD150D">
      <w:pPr>
        <w:spacing w:after="120"/>
        <w:ind w:firstLine="482"/>
        <w:jc w:val="both"/>
        <w:rPr>
          <w:sz w:val="20"/>
          <w:lang w:val="id-ID"/>
        </w:rPr>
      </w:pPr>
    </w:p>
    <w:p w:rsidR="00BD150D" w:rsidRPr="00BD150D" w:rsidRDefault="00F058CA" w:rsidP="00BD150D">
      <w:pPr>
        <w:spacing w:after="120"/>
        <w:jc w:val="both"/>
        <w:rPr>
          <w:b/>
          <w:sz w:val="20"/>
          <w:lang w:val="id-ID"/>
        </w:rPr>
      </w:pPr>
      <w:r>
        <w:rPr>
          <w:b/>
          <w:sz w:val="20"/>
          <w:lang w:val="id-ID"/>
        </w:rPr>
        <w:t xml:space="preserve">C. </w:t>
      </w:r>
      <w:r w:rsidR="00BD150D" w:rsidRPr="00BD150D">
        <w:rPr>
          <w:b/>
          <w:sz w:val="20"/>
          <w:lang w:val="id-ID"/>
        </w:rPr>
        <w:t>Saran</w:t>
      </w:r>
    </w:p>
    <w:p w:rsidR="00BD150D" w:rsidRPr="00BD150D" w:rsidRDefault="00BD150D" w:rsidP="00F058CA">
      <w:pPr>
        <w:spacing w:after="120"/>
        <w:ind w:firstLine="284"/>
        <w:jc w:val="both"/>
        <w:rPr>
          <w:b/>
          <w:sz w:val="20"/>
        </w:rPr>
      </w:pPr>
      <w:r w:rsidRPr="00BD150D">
        <w:rPr>
          <w:sz w:val="20"/>
        </w:rPr>
        <w:t xml:space="preserve">Beberapa usulan yang berkaitan dengan pencapaian hasil yang optimal dari penerapan </w:t>
      </w:r>
      <w:r w:rsidRPr="00BD150D">
        <w:rPr>
          <w:i/>
          <w:sz w:val="20"/>
          <w:lang w:eastAsia="ar-SA"/>
        </w:rPr>
        <w:t>Framework Cobit</w:t>
      </w:r>
      <w:r w:rsidRPr="00BD150D">
        <w:rPr>
          <w:sz w:val="20"/>
          <w:lang w:eastAsia="ar-SA"/>
        </w:rPr>
        <w:t xml:space="preserve"> 5 pada Evalusi T</w:t>
      </w:r>
      <w:r w:rsidR="000111EF">
        <w:rPr>
          <w:sz w:val="20"/>
          <w:lang w:val="id-ID" w:eastAsia="ar-SA"/>
        </w:rPr>
        <w:t>IK</w:t>
      </w:r>
      <w:r w:rsidRPr="00BD150D">
        <w:rPr>
          <w:sz w:val="20"/>
          <w:lang w:eastAsia="ar-SA"/>
        </w:rPr>
        <w:t xml:space="preserve"> Di R</w:t>
      </w:r>
      <w:r w:rsidRPr="00BD150D">
        <w:rPr>
          <w:sz w:val="20"/>
          <w:lang w:val="id-ID" w:eastAsia="ar-SA"/>
        </w:rPr>
        <w:t>S</w:t>
      </w:r>
      <w:r w:rsidR="000111EF">
        <w:rPr>
          <w:sz w:val="20"/>
          <w:lang w:val="id-ID" w:eastAsia="ar-SA"/>
        </w:rPr>
        <w:t>KRA i</w:t>
      </w:r>
      <w:r w:rsidRPr="00BD150D">
        <w:rPr>
          <w:sz w:val="20"/>
          <w:lang w:eastAsia="ar-SA"/>
        </w:rPr>
        <w:t>ni antara lain sebagai berikut:</w:t>
      </w:r>
    </w:p>
    <w:p w:rsidR="00BD150D" w:rsidRPr="00BD150D" w:rsidRDefault="00BD150D" w:rsidP="00BD150D">
      <w:pPr>
        <w:pStyle w:val="ListParagraph1"/>
        <w:numPr>
          <w:ilvl w:val="0"/>
          <w:numId w:val="11"/>
        </w:numPr>
        <w:tabs>
          <w:tab w:val="left" w:pos="284"/>
        </w:tabs>
        <w:spacing w:after="120" w:line="240" w:lineRule="auto"/>
        <w:ind w:left="284" w:hanging="284"/>
        <w:jc w:val="both"/>
        <w:rPr>
          <w:rFonts w:ascii="Times New Roman" w:hAnsi="Times New Roman"/>
          <w:sz w:val="20"/>
          <w:szCs w:val="24"/>
        </w:rPr>
      </w:pPr>
      <w:r w:rsidRPr="00BD150D">
        <w:rPr>
          <w:rFonts w:ascii="Times New Roman" w:hAnsi="Times New Roman"/>
          <w:sz w:val="20"/>
          <w:szCs w:val="24"/>
        </w:rPr>
        <w:t xml:space="preserve">Menerapkan </w:t>
      </w:r>
      <w:r w:rsidRPr="00BD150D">
        <w:rPr>
          <w:rFonts w:ascii="Times New Roman" w:hAnsi="Times New Roman"/>
          <w:i/>
          <w:sz w:val="20"/>
          <w:szCs w:val="24"/>
        </w:rPr>
        <w:t xml:space="preserve">framework cobit </w:t>
      </w:r>
      <w:r w:rsidRPr="00BD150D">
        <w:rPr>
          <w:rFonts w:ascii="Times New Roman" w:hAnsi="Times New Roman"/>
          <w:sz w:val="20"/>
          <w:szCs w:val="24"/>
        </w:rPr>
        <w:t>untuk mengembangkan tata kelola teknologi informasi komputer yang lebih baik dari kondisi saat ini.</w:t>
      </w:r>
    </w:p>
    <w:p w:rsidR="00BD150D" w:rsidRPr="00BD150D" w:rsidRDefault="00BD150D" w:rsidP="00BD150D">
      <w:pPr>
        <w:pStyle w:val="ListParagraph1"/>
        <w:numPr>
          <w:ilvl w:val="0"/>
          <w:numId w:val="11"/>
        </w:numPr>
        <w:tabs>
          <w:tab w:val="left" w:pos="284"/>
        </w:tabs>
        <w:spacing w:after="120" w:line="240" w:lineRule="auto"/>
        <w:ind w:left="284" w:hanging="284"/>
        <w:jc w:val="both"/>
        <w:rPr>
          <w:rFonts w:ascii="Times New Roman" w:hAnsi="Times New Roman"/>
          <w:sz w:val="20"/>
          <w:szCs w:val="24"/>
        </w:rPr>
      </w:pPr>
      <w:r w:rsidRPr="00BD150D">
        <w:rPr>
          <w:rFonts w:ascii="Times New Roman" w:hAnsi="Times New Roman"/>
          <w:sz w:val="20"/>
          <w:szCs w:val="24"/>
        </w:rPr>
        <w:t>Usulan tata kelola teknologi informasi komputer akan lebih baik apabila didefinisikan secara detil berkaitan dengan kebijakan-kebijakan TIK yang ada. Pendefinisian secara detil dapat dibuat dalam bentuk aturan-aturan atau prosedur.</w:t>
      </w:r>
    </w:p>
    <w:p w:rsidR="00BD150D" w:rsidRPr="00BD150D" w:rsidRDefault="000111EF" w:rsidP="00BD150D">
      <w:pPr>
        <w:pStyle w:val="ListParagraph1"/>
        <w:numPr>
          <w:ilvl w:val="0"/>
          <w:numId w:val="11"/>
        </w:numPr>
        <w:tabs>
          <w:tab w:val="left" w:pos="284"/>
        </w:tabs>
        <w:spacing w:after="120" w:line="240" w:lineRule="auto"/>
        <w:ind w:left="284" w:hanging="284"/>
        <w:jc w:val="both"/>
        <w:rPr>
          <w:rFonts w:ascii="Times New Roman" w:hAnsi="Times New Roman"/>
          <w:sz w:val="20"/>
          <w:szCs w:val="24"/>
        </w:rPr>
      </w:pPr>
      <w:r>
        <w:rPr>
          <w:rFonts w:ascii="Times New Roman" w:hAnsi="Times New Roman"/>
          <w:sz w:val="20"/>
          <w:szCs w:val="24"/>
        </w:rPr>
        <w:t>Evaluasi tata</w:t>
      </w:r>
      <w:r>
        <w:rPr>
          <w:rFonts w:ascii="Times New Roman" w:hAnsi="Times New Roman"/>
          <w:sz w:val="20"/>
          <w:szCs w:val="24"/>
          <w:lang w:val="id-ID"/>
        </w:rPr>
        <w:t>k</w:t>
      </w:r>
      <w:r w:rsidR="00BD150D" w:rsidRPr="00BD150D">
        <w:rPr>
          <w:rFonts w:ascii="Times New Roman" w:hAnsi="Times New Roman"/>
          <w:sz w:val="20"/>
          <w:szCs w:val="24"/>
        </w:rPr>
        <w:t>elola Teknologi Informasi ini sebaiknya dilakukan secara bertahap, maksimal 6bulan sekali.</w:t>
      </w:r>
    </w:p>
    <w:p w:rsidR="00BD150D" w:rsidRPr="00BD150D" w:rsidRDefault="00BD150D" w:rsidP="00B2442F">
      <w:pPr>
        <w:pStyle w:val="ListParagraph1"/>
        <w:numPr>
          <w:ilvl w:val="0"/>
          <w:numId w:val="11"/>
        </w:numPr>
        <w:tabs>
          <w:tab w:val="left" w:pos="284"/>
        </w:tabs>
        <w:spacing w:after="120" w:line="240" w:lineRule="auto"/>
        <w:ind w:left="284" w:right="-23" w:hanging="284"/>
        <w:jc w:val="both"/>
        <w:rPr>
          <w:rFonts w:ascii="Times New Roman" w:hAnsi="Times New Roman"/>
          <w:b/>
          <w:sz w:val="20"/>
          <w:szCs w:val="24"/>
        </w:rPr>
      </w:pPr>
      <w:r w:rsidRPr="00BD150D">
        <w:rPr>
          <w:rFonts w:ascii="Times New Roman" w:hAnsi="Times New Roman"/>
          <w:sz w:val="20"/>
          <w:szCs w:val="24"/>
          <w:lang w:eastAsia="ar-SA"/>
        </w:rPr>
        <w:t xml:space="preserve">Perlu adanya pengawasan dari </w:t>
      </w:r>
      <w:r w:rsidRPr="00BD150D">
        <w:rPr>
          <w:rFonts w:ascii="Times New Roman" w:hAnsi="Times New Roman"/>
          <w:sz w:val="20"/>
          <w:szCs w:val="24"/>
          <w:lang w:val="id-ID" w:eastAsia="ar-SA"/>
        </w:rPr>
        <w:t>K</w:t>
      </w:r>
      <w:r w:rsidRPr="00BD150D">
        <w:rPr>
          <w:rFonts w:ascii="Times New Roman" w:hAnsi="Times New Roman"/>
          <w:sz w:val="20"/>
          <w:szCs w:val="24"/>
          <w:lang w:eastAsia="ar-SA"/>
        </w:rPr>
        <w:t xml:space="preserve">emerntrian </w:t>
      </w:r>
      <w:r w:rsidRPr="00BD150D">
        <w:rPr>
          <w:rFonts w:ascii="Times New Roman" w:hAnsi="Times New Roman"/>
          <w:sz w:val="20"/>
          <w:szCs w:val="24"/>
          <w:lang w:val="id-ID" w:eastAsia="ar-SA"/>
        </w:rPr>
        <w:t>K</w:t>
      </w:r>
      <w:r w:rsidRPr="00BD150D">
        <w:rPr>
          <w:rFonts w:ascii="Times New Roman" w:hAnsi="Times New Roman"/>
          <w:sz w:val="20"/>
          <w:szCs w:val="24"/>
          <w:lang w:eastAsia="ar-SA"/>
        </w:rPr>
        <w:t>esehatan tentang pelaksanaan atau proses tata kelola Teknologi Informasi Komputer Di Runah sakit.</w:t>
      </w:r>
    </w:p>
    <w:p w:rsidR="00BD150D" w:rsidRPr="00BD150D" w:rsidRDefault="00BD150D" w:rsidP="00B2442F">
      <w:pPr>
        <w:pStyle w:val="ListParagraph1"/>
        <w:numPr>
          <w:ilvl w:val="0"/>
          <w:numId w:val="11"/>
        </w:numPr>
        <w:tabs>
          <w:tab w:val="left" w:pos="284"/>
        </w:tabs>
        <w:spacing w:after="120" w:line="240" w:lineRule="auto"/>
        <w:ind w:left="284" w:right="-23" w:hanging="284"/>
        <w:jc w:val="both"/>
        <w:rPr>
          <w:rFonts w:ascii="Times New Roman" w:hAnsi="Times New Roman"/>
          <w:b/>
          <w:sz w:val="20"/>
          <w:szCs w:val="24"/>
        </w:rPr>
      </w:pPr>
      <w:r w:rsidRPr="00BD150D">
        <w:rPr>
          <w:rFonts w:ascii="Times New Roman" w:hAnsi="Times New Roman"/>
          <w:sz w:val="20"/>
          <w:szCs w:val="24"/>
        </w:rPr>
        <w:t>Selain itu untuk pengelolaan sumber daya manusia, perlu juga dibuatkan sistem informasi pelaksanaan aktivitas dalam pekerjaan yang di lakukan pihak manajemen pengelolaan komputer yang terhubung dengan server pusta data yang ada di pusat, sehingga terdapat tata kelola akses komputer yang lebih sistematis, terkontrol dan hasil kerja Staff dapat tetap tersimpan di media penyimpanan yang ada di server.</w:t>
      </w:r>
    </w:p>
    <w:p w:rsidR="0011180C" w:rsidRDefault="0011180C" w:rsidP="0011180C">
      <w:pPr>
        <w:pStyle w:val="ListParagraph"/>
        <w:ind w:left="284"/>
        <w:jc w:val="both"/>
        <w:rPr>
          <w:color w:val="1A1A1A"/>
          <w:sz w:val="20"/>
          <w:szCs w:val="20"/>
        </w:rPr>
      </w:pPr>
    </w:p>
    <w:p w:rsidR="00A6296A" w:rsidRPr="00FB2EE9" w:rsidRDefault="00A6296A" w:rsidP="00FB2EE9">
      <w:pPr>
        <w:pStyle w:val="ListParagraph"/>
        <w:spacing w:after="60"/>
        <w:ind w:left="567" w:hanging="567"/>
        <w:jc w:val="center"/>
        <w:rPr>
          <w:b/>
          <w:smallCaps/>
          <w:sz w:val="20"/>
          <w:szCs w:val="20"/>
          <w:lang w:val="en-US"/>
        </w:rPr>
      </w:pPr>
      <w:r w:rsidRPr="00FB2EE9">
        <w:rPr>
          <w:b/>
          <w:sz w:val="20"/>
          <w:szCs w:val="20"/>
          <w:lang w:val="id-ID"/>
        </w:rPr>
        <w:t>DAFTAR PUSTAKA</w:t>
      </w:r>
    </w:p>
    <w:p w:rsidR="00F058CA" w:rsidRPr="00F058CA" w:rsidRDefault="00F058CA" w:rsidP="00F058CA">
      <w:pPr>
        <w:ind w:left="720" w:hanging="720"/>
        <w:jc w:val="both"/>
        <w:rPr>
          <w:sz w:val="20"/>
        </w:rPr>
      </w:pPr>
      <w:r w:rsidRPr="00F058CA">
        <w:rPr>
          <w:sz w:val="20"/>
        </w:rPr>
        <w:t xml:space="preserve">Adikara. (2013). </w:t>
      </w:r>
      <w:r w:rsidRPr="00F058CA">
        <w:rPr>
          <w:i/>
          <w:sz w:val="20"/>
        </w:rPr>
        <w:t>Implementasi Tata Kelola Teknol</w:t>
      </w:r>
      <w:r w:rsidR="00F80F0C">
        <w:rPr>
          <w:i/>
          <w:sz w:val="20"/>
        </w:rPr>
        <w:t>ogi Informasi Perguruan Tingg</w:t>
      </w:r>
      <w:r w:rsidR="00F80F0C">
        <w:rPr>
          <w:i/>
          <w:sz w:val="20"/>
          <w:lang w:val="id-ID"/>
        </w:rPr>
        <w:t>i</w:t>
      </w:r>
      <w:r w:rsidRPr="00F058CA">
        <w:rPr>
          <w:i/>
          <w:sz w:val="20"/>
        </w:rPr>
        <w:t xml:space="preserve"> Berdasarkan Cobit 5 Pada Laboratorium Rekayasa Perangkat Lunak Universitas Esa Unggul. </w:t>
      </w:r>
      <w:r w:rsidRPr="00F058CA">
        <w:rPr>
          <w:sz w:val="20"/>
        </w:rPr>
        <w:t>Seminar Nasional</w:t>
      </w:r>
      <w:r w:rsidR="00F80F0C">
        <w:rPr>
          <w:sz w:val="20"/>
        </w:rPr>
        <w:t xml:space="preserve"> Sistem Informasi Indonesia, 2 </w:t>
      </w:r>
      <w:r w:rsidR="00F80F0C">
        <w:rPr>
          <w:sz w:val="20"/>
          <w:lang w:val="id-ID"/>
        </w:rPr>
        <w:t>S</w:t>
      </w:r>
      <w:r w:rsidRPr="00F058CA">
        <w:rPr>
          <w:sz w:val="20"/>
        </w:rPr>
        <w:t>eptember 2014</w:t>
      </w:r>
    </w:p>
    <w:p w:rsidR="00F058CA" w:rsidRDefault="00F058CA" w:rsidP="00F058CA">
      <w:pPr>
        <w:ind w:left="720" w:hanging="720"/>
        <w:jc w:val="both"/>
        <w:rPr>
          <w:bCs/>
          <w:sz w:val="20"/>
          <w:lang w:val="id-ID"/>
        </w:rPr>
      </w:pPr>
    </w:p>
    <w:p w:rsidR="00F058CA" w:rsidRPr="00F058CA" w:rsidRDefault="00F058CA" w:rsidP="00F058CA">
      <w:pPr>
        <w:ind w:left="709" w:hanging="709"/>
        <w:jc w:val="both"/>
        <w:rPr>
          <w:sz w:val="20"/>
        </w:rPr>
      </w:pPr>
      <w:r w:rsidRPr="00F058CA">
        <w:rPr>
          <w:sz w:val="20"/>
        </w:rPr>
        <w:t>Alberch, Bob &amp; Pirani, Judith A.</w:t>
      </w:r>
      <w:r w:rsidR="00F80F0C">
        <w:rPr>
          <w:sz w:val="20"/>
          <w:lang w:val="id-ID"/>
        </w:rPr>
        <w:t xml:space="preserve"> </w:t>
      </w:r>
      <w:r w:rsidR="00526CE3">
        <w:rPr>
          <w:sz w:val="20"/>
          <w:lang w:val="id-ID"/>
        </w:rPr>
        <w:t>(</w:t>
      </w:r>
      <w:r w:rsidRPr="00F058CA">
        <w:rPr>
          <w:sz w:val="20"/>
        </w:rPr>
        <w:t>2004</w:t>
      </w:r>
      <w:r w:rsidR="00526CE3">
        <w:rPr>
          <w:sz w:val="20"/>
          <w:lang w:val="id-ID"/>
        </w:rPr>
        <w:t>)</w:t>
      </w:r>
      <w:r w:rsidRPr="00F058CA">
        <w:rPr>
          <w:sz w:val="20"/>
        </w:rPr>
        <w:t xml:space="preserve">. </w:t>
      </w:r>
      <w:r w:rsidRPr="00F80F0C">
        <w:rPr>
          <w:i/>
          <w:sz w:val="20"/>
        </w:rPr>
        <w:t>Using an IT Governence Structure to Archieve Alignment at the University of Cincinnati.</w:t>
      </w:r>
    </w:p>
    <w:p w:rsidR="00F058CA" w:rsidRDefault="00F058CA" w:rsidP="00F058CA">
      <w:pPr>
        <w:jc w:val="both"/>
        <w:rPr>
          <w:sz w:val="20"/>
          <w:lang w:val="id-ID"/>
        </w:rPr>
      </w:pPr>
    </w:p>
    <w:p w:rsidR="00F80F0C" w:rsidRDefault="00F80F0C" w:rsidP="00F058CA">
      <w:pPr>
        <w:jc w:val="both"/>
        <w:rPr>
          <w:sz w:val="20"/>
          <w:lang w:val="id-ID"/>
        </w:rPr>
      </w:pPr>
      <w:r>
        <w:rPr>
          <w:sz w:val="20"/>
          <w:lang w:val="id-ID"/>
        </w:rPr>
        <w:t xml:space="preserve">Iliescu, Florin-Mihai. </w:t>
      </w:r>
      <w:r w:rsidR="00526CE3">
        <w:rPr>
          <w:sz w:val="20"/>
          <w:lang w:val="id-ID"/>
        </w:rPr>
        <w:t>(</w:t>
      </w:r>
      <w:r>
        <w:rPr>
          <w:sz w:val="20"/>
          <w:lang w:val="id-ID"/>
        </w:rPr>
        <w:t>2010</w:t>
      </w:r>
      <w:r w:rsidR="00526CE3">
        <w:rPr>
          <w:sz w:val="20"/>
          <w:lang w:val="id-ID"/>
        </w:rPr>
        <w:t>)</w:t>
      </w:r>
      <w:r>
        <w:rPr>
          <w:sz w:val="20"/>
          <w:lang w:val="id-ID"/>
        </w:rPr>
        <w:t xml:space="preserve">. </w:t>
      </w:r>
      <w:r w:rsidR="00526CE3" w:rsidRPr="00526CE3">
        <w:rPr>
          <w:i/>
          <w:sz w:val="20"/>
          <w:lang w:val="id-ID"/>
        </w:rPr>
        <w:t>Auditing IT Governance</w:t>
      </w:r>
      <w:r w:rsidR="00526CE3">
        <w:rPr>
          <w:sz w:val="20"/>
          <w:lang w:val="id-ID"/>
        </w:rPr>
        <w:t>. Informatica Economica vol. 14 no. 1/2010, 93-102.</w:t>
      </w:r>
    </w:p>
    <w:p w:rsidR="00526CE3" w:rsidRDefault="00526CE3" w:rsidP="00F058CA">
      <w:pPr>
        <w:jc w:val="both"/>
        <w:rPr>
          <w:sz w:val="20"/>
          <w:lang w:val="id-ID"/>
        </w:rPr>
      </w:pPr>
    </w:p>
    <w:p w:rsidR="00F058CA" w:rsidRPr="00526CE3" w:rsidRDefault="00F80F0C" w:rsidP="00F058CA">
      <w:pPr>
        <w:jc w:val="both"/>
        <w:rPr>
          <w:sz w:val="20"/>
          <w:lang w:val="id-ID"/>
        </w:rPr>
      </w:pPr>
      <w:r>
        <w:rPr>
          <w:sz w:val="20"/>
        </w:rPr>
        <w:t>ITGI</w:t>
      </w:r>
      <w:r>
        <w:rPr>
          <w:sz w:val="20"/>
          <w:lang w:val="id-ID"/>
        </w:rPr>
        <w:t xml:space="preserve">. </w:t>
      </w:r>
      <w:r w:rsidR="00526CE3">
        <w:rPr>
          <w:sz w:val="20"/>
          <w:lang w:val="id-ID"/>
        </w:rPr>
        <w:t>(</w:t>
      </w:r>
      <w:r>
        <w:rPr>
          <w:sz w:val="20"/>
          <w:lang w:val="id-ID"/>
        </w:rPr>
        <w:t>2005</w:t>
      </w:r>
      <w:r w:rsidR="00526CE3">
        <w:rPr>
          <w:sz w:val="20"/>
          <w:lang w:val="id-ID"/>
        </w:rPr>
        <w:t>)</w:t>
      </w:r>
      <w:r>
        <w:rPr>
          <w:sz w:val="20"/>
          <w:lang w:val="id-ID"/>
        </w:rPr>
        <w:t xml:space="preserve">. </w:t>
      </w:r>
      <w:r w:rsidR="00F058CA" w:rsidRPr="00F058CA">
        <w:rPr>
          <w:i/>
          <w:sz w:val="20"/>
        </w:rPr>
        <w:t>Cobit</w:t>
      </w:r>
      <w:r w:rsidR="00F058CA" w:rsidRPr="00F058CA">
        <w:rPr>
          <w:sz w:val="20"/>
        </w:rPr>
        <w:t xml:space="preserve"> 5 </w:t>
      </w:r>
      <w:r w:rsidR="00F058CA" w:rsidRPr="00A8586C">
        <w:rPr>
          <w:i/>
          <w:sz w:val="20"/>
        </w:rPr>
        <w:t>: Enabling Process</w:t>
      </w:r>
      <w:r w:rsidR="00526CE3">
        <w:rPr>
          <w:sz w:val="20"/>
        </w:rPr>
        <w:t>. United States America.</w:t>
      </w:r>
    </w:p>
    <w:p w:rsidR="00F058CA" w:rsidRDefault="00F058CA" w:rsidP="00F058CA">
      <w:pPr>
        <w:ind w:left="720" w:hanging="720"/>
        <w:jc w:val="both"/>
        <w:rPr>
          <w:sz w:val="20"/>
          <w:lang w:val="id-ID"/>
        </w:rPr>
      </w:pPr>
    </w:p>
    <w:p w:rsidR="00F058CA" w:rsidRPr="00F058CA" w:rsidRDefault="00F058CA" w:rsidP="00F058CA">
      <w:pPr>
        <w:ind w:left="720" w:hanging="720"/>
        <w:jc w:val="both"/>
        <w:rPr>
          <w:sz w:val="20"/>
        </w:rPr>
      </w:pPr>
      <w:r w:rsidRPr="00F058CA">
        <w:rPr>
          <w:sz w:val="20"/>
        </w:rPr>
        <w:t xml:space="preserve">ITGI and OGC. </w:t>
      </w:r>
      <w:r w:rsidR="00526CE3">
        <w:rPr>
          <w:sz w:val="20"/>
          <w:lang w:val="id-ID"/>
        </w:rPr>
        <w:t xml:space="preserve">(2000) </w:t>
      </w:r>
      <w:r w:rsidRPr="00F058CA">
        <w:rPr>
          <w:sz w:val="20"/>
        </w:rPr>
        <w:t xml:space="preserve">Aligning </w:t>
      </w:r>
      <w:r w:rsidRPr="00F058CA">
        <w:rPr>
          <w:i/>
          <w:sz w:val="20"/>
        </w:rPr>
        <w:t>COBIT</w:t>
      </w:r>
      <w:r w:rsidRPr="00F058CA">
        <w:rPr>
          <w:sz w:val="20"/>
        </w:rPr>
        <w:t>® 4.1, ITIL® V3 and ISO/IEC 27002 for Business Benefit.United States America</w:t>
      </w:r>
    </w:p>
    <w:p w:rsidR="00F058CA" w:rsidRDefault="00F058CA" w:rsidP="00F058CA">
      <w:pPr>
        <w:ind w:left="720" w:hanging="720"/>
        <w:jc w:val="both"/>
        <w:rPr>
          <w:sz w:val="20"/>
          <w:lang w:val="id-ID"/>
        </w:rPr>
      </w:pPr>
    </w:p>
    <w:p w:rsidR="00F058CA" w:rsidRPr="00F058CA" w:rsidRDefault="00F058CA" w:rsidP="00F058CA">
      <w:pPr>
        <w:ind w:left="720" w:hanging="720"/>
        <w:jc w:val="both"/>
        <w:rPr>
          <w:sz w:val="20"/>
        </w:rPr>
      </w:pPr>
      <w:r w:rsidRPr="00F058CA">
        <w:rPr>
          <w:sz w:val="20"/>
        </w:rPr>
        <w:t xml:space="preserve">ISACA </w:t>
      </w:r>
      <w:r w:rsidR="00526CE3">
        <w:rPr>
          <w:sz w:val="20"/>
          <w:lang w:val="id-ID"/>
        </w:rPr>
        <w:t>(</w:t>
      </w:r>
      <w:r w:rsidRPr="00F058CA">
        <w:rPr>
          <w:sz w:val="20"/>
        </w:rPr>
        <w:t>2012</w:t>
      </w:r>
      <w:r w:rsidR="00526CE3">
        <w:rPr>
          <w:sz w:val="20"/>
          <w:lang w:val="id-ID"/>
        </w:rPr>
        <w:t>)</w:t>
      </w:r>
      <w:r w:rsidR="00A8586C">
        <w:rPr>
          <w:sz w:val="20"/>
          <w:lang w:val="id-ID"/>
        </w:rPr>
        <w:t>.</w:t>
      </w:r>
      <w:r w:rsidRPr="00F058CA">
        <w:rPr>
          <w:sz w:val="20"/>
        </w:rPr>
        <w:t xml:space="preserve"> </w:t>
      </w:r>
      <w:r w:rsidRPr="00A8586C">
        <w:rPr>
          <w:i/>
          <w:sz w:val="20"/>
        </w:rPr>
        <w:t>COBIT 5.0 A Business Framwork for the Governence and management of enterprise IT</w:t>
      </w:r>
      <w:r w:rsidRPr="00F058CA">
        <w:rPr>
          <w:sz w:val="20"/>
        </w:rPr>
        <w:t>.</w:t>
      </w:r>
    </w:p>
    <w:p w:rsidR="00F058CA" w:rsidRDefault="00F058CA" w:rsidP="00F058CA">
      <w:pPr>
        <w:jc w:val="both"/>
        <w:rPr>
          <w:sz w:val="20"/>
          <w:lang w:val="id-ID"/>
        </w:rPr>
      </w:pPr>
    </w:p>
    <w:p w:rsidR="00F058CA" w:rsidRPr="00F058CA" w:rsidRDefault="00F058CA" w:rsidP="00F058CA">
      <w:pPr>
        <w:jc w:val="both"/>
        <w:rPr>
          <w:sz w:val="20"/>
        </w:rPr>
      </w:pPr>
      <w:r w:rsidRPr="00F058CA">
        <w:rPr>
          <w:sz w:val="20"/>
        </w:rPr>
        <w:t xml:space="preserve">ISACA. </w:t>
      </w:r>
      <w:r w:rsidR="00526CE3">
        <w:rPr>
          <w:sz w:val="20"/>
          <w:lang w:val="id-ID"/>
        </w:rPr>
        <w:t>(</w:t>
      </w:r>
      <w:r w:rsidRPr="00F058CA">
        <w:rPr>
          <w:sz w:val="20"/>
        </w:rPr>
        <w:t>2000</w:t>
      </w:r>
      <w:r w:rsidR="00526CE3">
        <w:rPr>
          <w:sz w:val="20"/>
          <w:lang w:val="id-ID"/>
        </w:rPr>
        <w:t>)</w:t>
      </w:r>
      <w:r w:rsidRPr="00F058CA">
        <w:rPr>
          <w:sz w:val="20"/>
        </w:rPr>
        <w:t xml:space="preserve">. IT </w:t>
      </w:r>
      <w:r w:rsidRPr="00F058CA">
        <w:rPr>
          <w:i/>
          <w:sz w:val="20"/>
        </w:rPr>
        <w:t>Governence</w:t>
      </w:r>
      <w:r w:rsidRPr="00F058CA">
        <w:rPr>
          <w:sz w:val="20"/>
        </w:rPr>
        <w:t xml:space="preserve"> Institute: </w:t>
      </w:r>
      <w:r w:rsidRPr="00F058CA">
        <w:rPr>
          <w:i/>
          <w:sz w:val="20"/>
        </w:rPr>
        <w:t>Cobit</w:t>
      </w:r>
      <w:r w:rsidRPr="00F058CA">
        <w:rPr>
          <w:sz w:val="20"/>
        </w:rPr>
        <w:t xml:space="preserve"> Management Guidelines, 3rd edition</w:t>
      </w:r>
    </w:p>
    <w:p w:rsidR="00F058CA" w:rsidRDefault="00F058CA" w:rsidP="00F058CA">
      <w:pPr>
        <w:ind w:left="720" w:hanging="720"/>
        <w:jc w:val="both"/>
        <w:rPr>
          <w:sz w:val="20"/>
          <w:lang w:val="id-ID"/>
        </w:rPr>
      </w:pPr>
    </w:p>
    <w:p w:rsidR="00F058CA" w:rsidRPr="00F058CA" w:rsidRDefault="00A8586C" w:rsidP="00F058CA">
      <w:pPr>
        <w:jc w:val="both"/>
        <w:rPr>
          <w:sz w:val="20"/>
        </w:rPr>
      </w:pPr>
      <w:r>
        <w:rPr>
          <w:sz w:val="20"/>
        </w:rPr>
        <w:t xml:space="preserve">Sarno. </w:t>
      </w:r>
      <w:r w:rsidR="00526CE3">
        <w:rPr>
          <w:sz w:val="20"/>
          <w:lang w:val="id-ID"/>
        </w:rPr>
        <w:t>(</w:t>
      </w:r>
      <w:r>
        <w:rPr>
          <w:sz w:val="20"/>
        </w:rPr>
        <w:t>2009</w:t>
      </w:r>
      <w:r w:rsidR="00526CE3">
        <w:rPr>
          <w:sz w:val="20"/>
          <w:lang w:val="id-ID"/>
        </w:rPr>
        <w:t>)</w:t>
      </w:r>
      <w:r w:rsidR="00F058CA" w:rsidRPr="00F058CA">
        <w:rPr>
          <w:sz w:val="20"/>
        </w:rPr>
        <w:t xml:space="preserve">. </w:t>
      </w:r>
      <w:r w:rsidR="00F058CA" w:rsidRPr="00F058CA">
        <w:rPr>
          <w:i/>
          <w:sz w:val="20"/>
        </w:rPr>
        <w:t>Aud</w:t>
      </w:r>
      <w:r>
        <w:rPr>
          <w:i/>
          <w:sz w:val="20"/>
        </w:rPr>
        <w:t>it sistem &amp; teknologi informasi</w:t>
      </w:r>
      <w:r>
        <w:rPr>
          <w:i/>
          <w:sz w:val="20"/>
          <w:lang w:val="id-ID"/>
        </w:rPr>
        <w:t>.</w:t>
      </w:r>
      <w:r w:rsidR="00F058CA" w:rsidRPr="00A8586C">
        <w:rPr>
          <w:sz w:val="20"/>
        </w:rPr>
        <w:t xml:space="preserve"> ITS </w:t>
      </w:r>
      <w:r w:rsidR="00F058CA" w:rsidRPr="00F058CA">
        <w:rPr>
          <w:sz w:val="20"/>
        </w:rPr>
        <w:t>Press. Surabaya</w:t>
      </w:r>
    </w:p>
    <w:p w:rsidR="00F058CA" w:rsidRDefault="00F058CA" w:rsidP="00F058CA">
      <w:pPr>
        <w:ind w:left="720" w:hanging="720"/>
        <w:jc w:val="both"/>
        <w:rPr>
          <w:sz w:val="20"/>
          <w:lang w:val="id-ID"/>
        </w:rPr>
      </w:pPr>
    </w:p>
    <w:p w:rsidR="00F058CA" w:rsidRPr="00F058CA" w:rsidRDefault="00F058CA" w:rsidP="00F058CA">
      <w:pPr>
        <w:ind w:left="720" w:hanging="720"/>
        <w:jc w:val="both"/>
        <w:rPr>
          <w:sz w:val="20"/>
        </w:rPr>
      </w:pPr>
      <w:r w:rsidRPr="00F058CA">
        <w:rPr>
          <w:sz w:val="20"/>
        </w:rPr>
        <w:t>Stark, J.S. &amp; Thomas, A. (1994).</w:t>
      </w:r>
      <w:r w:rsidR="00A8586C">
        <w:rPr>
          <w:sz w:val="20"/>
          <w:lang w:val="id-ID"/>
        </w:rPr>
        <w:t xml:space="preserve"> </w:t>
      </w:r>
      <w:r w:rsidRPr="00A8586C">
        <w:rPr>
          <w:i/>
          <w:sz w:val="20"/>
        </w:rPr>
        <w:t>Assessment and program evaluation</w:t>
      </w:r>
      <w:r w:rsidRPr="00F058CA">
        <w:rPr>
          <w:sz w:val="20"/>
        </w:rPr>
        <w:t xml:space="preserve">. Needham Heights: Simon &amp; Schuster Custom Publishing.  </w:t>
      </w:r>
    </w:p>
    <w:p w:rsidR="00F058CA" w:rsidRDefault="00F058CA" w:rsidP="00F058CA">
      <w:pPr>
        <w:ind w:left="720" w:hanging="720"/>
        <w:jc w:val="both"/>
        <w:rPr>
          <w:sz w:val="20"/>
          <w:lang w:val="id-ID"/>
        </w:rPr>
      </w:pPr>
    </w:p>
    <w:p w:rsidR="00F058CA" w:rsidRPr="00F058CA" w:rsidRDefault="00F058CA" w:rsidP="00F058CA">
      <w:pPr>
        <w:ind w:left="720" w:hanging="720"/>
        <w:jc w:val="both"/>
        <w:rPr>
          <w:sz w:val="20"/>
        </w:rPr>
      </w:pPr>
      <w:r w:rsidRPr="00F058CA">
        <w:rPr>
          <w:sz w:val="20"/>
        </w:rPr>
        <w:t xml:space="preserve">Stufflebeam, D.L. &amp; Shinkfield, A.J. (1985). </w:t>
      </w:r>
      <w:r w:rsidRPr="00A8586C">
        <w:rPr>
          <w:i/>
          <w:sz w:val="20"/>
        </w:rPr>
        <w:t>Systematic evaluation</w:t>
      </w:r>
      <w:r w:rsidRPr="00F058CA">
        <w:rPr>
          <w:sz w:val="20"/>
        </w:rPr>
        <w:t>. Boston: Kluwer Nijhof Publishing.</w:t>
      </w:r>
    </w:p>
    <w:p w:rsidR="00F058CA" w:rsidRDefault="00F058CA" w:rsidP="00F058CA">
      <w:pPr>
        <w:ind w:left="720" w:hanging="720"/>
        <w:jc w:val="both"/>
        <w:rPr>
          <w:sz w:val="20"/>
          <w:lang w:val="id-ID"/>
        </w:rPr>
      </w:pPr>
    </w:p>
    <w:p w:rsidR="00F058CA" w:rsidRPr="00F058CA" w:rsidRDefault="00F058CA" w:rsidP="00F058CA">
      <w:pPr>
        <w:ind w:left="720" w:hanging="720"/>
        <w:jc w:val="both"/>
        <w:rPr>
          <w:sz w:val="20"/>
        </w:rPr>
      </w:pPr>
      <w:r w:rsidRPr="00F058CA">
        <w:rPr>
          <w:sz w:val="20"/>
        </w:rPr>
        <w:t xml:space="preserve">Van Grembergen, Wim; Steven De Haes. </w:t>
      </w:r>
      <w:r w:rsidR="00526CE3">
        <w:rPr>
          <w:sz w:val="20"/>
          <w:lang w:val="id-ID"/>
        </w:rPr>
        <w:t>(</w:t>
      </w:r>
      <w:r w:rsidRPr="00F058CA">
        <w:rPr>
          <w:sz w:val="20"/>
        </w:rPr>
        <w:t>2009</w:t>
      </w:r>
      <w:r w:rsidR="00526CE3">
        <w:rPr>
          <w:sz w:val="20"/>
          <w:lang w:val="id-ID"/>
        </w:rPr>
        <w:t>)</w:t>
      </w:r>
      <w:r w:rsidRPr="00F058CA">
        <w:rPr>
          <w:sz w:val="20"/>
        </w:rPr>
        <w:t xml:space="preserve">. </w:t>
      </w:r>
      <w:r w:rsidRPr="00A8586C">
        <w:rPr>
          <w:i/>
          <w:sz w:val="20"/>
        </w:rPr>
        <w:t>Moving From IT Governence to Enterprise  Governence of IT</w:t>
      </w:r>
      <w:r w:rsidR="00A8586C">
        <w:rPr>
          <w:sz w:val="20"/>
          <w:lang w:val="id-ID"/>
        </w:rPr>
        <w:t>.</w:t>
      </w:r>
      <w:r w:rsidRPr="00F058CA">
        <w:rPr>
          <w:sz w:val="20"/>
        </w:rPr>
        <w:t xml:space="preserve"> ISACA Jurnal </w:t>
      </w:r>
    </w:p>
    <w:p w:rsidR="00F058CA" w:rsidRDefault="00F058CA" w:rsidP="00F058CA">
      <w:pPr>
        <w:ind w:left="720" w:hanging="720"/>
        <w:jc w:val="both"/>
        <w:rPr>
          <w:sz w:val="20"/>
          <w:lang w:val="id-ID"/>
        </w:rPr>
      </w:pPr>
    </w:p>
    <w:p w:rsidR="00A8586C" w:rsidRPr="00A8586C" w:rsidRDefault="00A8586C" w:rsidP="00F058CA">
      <w:pPr>
        <w:ind w:left="720" w:hanging="720"/>
        <w:jc w:val="both"/>
        <w:rPr>
          <w:sz w:val="20"/>
          <w:lang w:val="id-ID"/>
        </w:rPr>
      </w:pPr>
      <w:r>
        <w:rPr>
          <w:sz w:val="20"/>
          <w:lang w:val="id-ID"/>
        </w:rPr>
        <w:t xml:space="preserve">Waworuntu. </w:t>
      </w:r>
      <w:r w:rsidR="00526CE3">
        <w:rPr>
          <w:sz w:val="20"/>
          <w:lang w:val="id-ID"/>
        </w:rPr>
        <w:t>(</w:t>
      </w:r>
      <w:r>
        <w:rPr>
          <w:sz w:val="20"/>
          <w:lang w:val="id-ID"/>
        </w:rPr>
        <w:t>1997</w:t>
      </w:r>
      <w:r w:rsidR="00526CE3">
        <w:rPr>
          <w:sz w:val="20"/>
          <w:lang w:val="id-ID"/>
        </w:rPr>
        <w:t>)</w:t>
      </w:r>
      <w:r>
        <w:rPr>
          <w:sz w:val="20"/>
          <w:lang w:val="id-ID"/>
        </w:rPr>
        <w:t xml:space="preserve">. </w:t>
      </w:r>
      <w:r>
        <w:rPr>
          <w:i/>
          <w:sz w:val="20"/>
          <w:lang w:val="id-ID"/>
        </w:rPr>
        <w:t>Manajemen Sumber Daya Manusia</w:t>
      </w:r>
      <w:r>
        <w:rPr>
          <w:sz w:val="20"/>
          <w:lang w:val="id-ID"/>
        </w:rPr>
        <w:t>. Jakarta: PT. Gramedia Utama.</w:t>
      </w:r>
    </w:p>
    <w:p w:rsidR="00A8586C" w:rsidRDefault="00A8586C" w:rsidP="00F058CA">
      <w:pPr>
        <w:ind w:left="720" w:hanging="720"/>
        <w:jc w:val="both"/>
        <w:rPr>
          <w:sz w:val="20"/>
          <w:lang w:val="id-ID"/>
        </w:rPr>
      </w:pPr>
    </w:p>
    <w:p w:rsidR="00F058CA" w:rsidRPr="00F058CA" w:rsidRDefault="00F058CA" w:rsidP="00F058CA">
      <w:pPr>
        <w:ind w:left="720" w:hanging="720"/>
        <w:jc w:val="both"/>
        <w:rPr>
          <w:sz w:val="20"/>
        </w:rPr>
      </w:pPr>
      <w:r w:rsidRPr="00F058CA">
        <w:rPr>
          <w:sz w:val="20"/>
        </w:rPr>
        <w:t xml:space="preserve">Weill, P., Ross, J. W. </w:t>
      </w:r>
      <w:r w:rsidR="00526CE3">
        <w:rPr>
          <w:sz w:val="20"/>
          <w:lang w:val="id-ID"/>
        </w:rPr>
        <w:t>(</w:t>
      </w:r>
      <w:r w:rsidRPr="00F058CA">
        <w:rPr>
          <w:sz w:val="20"/>
        </w:rPr>
        <w:t>2004</w:t>
      </w:r>
      <w:r w:rsidR="00526CE3">
        <w:rPr>
          <w:sz w:val="20"/>
          <w:lang w:val="id-ID"/>
        </w:rPr>
        <w:t>)</w:t>
      </w:r>
      <w:r w:rsidRPr="00F058CA">
        <w:rPr>
          <w:sz w:val="20"/>
        </w:rPr>
        <w:t xml:space="preserve">. </w:t>
      </w:r>
      <w:r w:rsidRPr="00A8586C">
        <w:rPr>
          <w:i/>
          <w:sz w:val="20"/>
        </w:rPr>
        <w:t>IT Governence–How top Performers Manage IT Decision Rights for Superior Results</w:t>
      </w:r>
      <w:r w:rsidRPr="00F058CA">
        <w:rPr>
          <w:sz w:val="20"/>
        </w:rPr>
        <w:t>. Harvard Business School Press.</w:t>
      </w:r>
    </w:p>
    <w:p w:rsidR="00F058CA" w:rsidRDefault="00F058CA" w:rsidP="00F058CA">
      <w:pPr>
        <w:ind w:left="720" w:hanging="720"/>
        <w:jc w:val="both"/>
        <w:rPr>
          <w:sz w:val="20"/>
          <w:lang w:val="id-ID"/>
        </w:rPr>
      </w:pPr>
    </w:p>
    <w:p w:rsidR="00F058CA" w:rsidRDefault="00F058CA" w:rsidP="00B802F5">
      <w:pPr>
        <w:ind w:left="567" w:hanging="567"/>
        <w:jc w:val="both"/>
        <w:rPr>
          <w:color w:val="1A1A1A"/>
          <w:sz w:val="20"/>
          <w:szCs w:val="20"/>
          <w:lang w:val="id-ID"/>
        </w:rPr>
      </w:pPr>
    </w:p>
    <w:p w:rsidR="00515B84" w:rsidRPr="00B444A8" w:rsidRDefault="00515B84">
      <w:pPr>
        <w:rPr>
          <w:sz w:val="20"/>
          <w:szCs w:val="20"/>
        </w:rPr>
      </w:pPr>
    </w:p>
    <w:sectPr w:rsidR="00515B84" w:rsidRPr="00B444A8" w:rsidSect="00F173F9">
      <w:headerReference w:type="default" r:id="rId10"/>
      <w:pgSz w:w="11907" w:h="16839"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345" w:rsidRDefault="001D0345" w:rsidP="008E72FF">
      <w:r>
        <w:separator/>
      </w:r>
    </w:p>
  </w:endnote>
  <w:endnote w:type="continuationSeparator" w:id="1">
    <w:p w:rsidR="001D0345" w:rsidRDefault="001D0345" w:rsidP="008E7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345" w:rsidRDefault="001D0345" w:rsidP="008E72FF">
      <w:r>
        <w:separator/>
      </w:r>
    </w:p>
  </w:footnote>
  <w:footnote w:type="continuationSeparator" w:id="1">
    <w:p w:rsidR="001D0345" w:rsidRDefault="001D0345" w:rsidP="008E7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FF" w:rsidRPr="008E72FF" w:rsidRDefault="008E72FF">
    <w:pPr>
      <w:pStyle w:val="Header"/>
      <w:rPr>
        <w:lang w:val="en-ID"/>
      </w:rPr>
    </w:pPr>
    <w:r>
      <w:rPr>
        <w:lang w:val="en-ID"/>
      </w:rPr>
      <w:t xml:space="preserve">SEMNAS RISTEK 2017                                                    </w:t>
    </w:r>
    <w:r w:rsidR="00744381">
      <w:rPr>
        <w:lang w:val="en-ID"/>
      </w:rPr>
      <w:t xml:space="preserve">                    </w:t>
    </w:r>
    <w:r w:rsidR="0080495C">
      <w:rPr>
        <w:lang w:val="en-ID"/>
      </w:rPr>
      <w:t xml:space="preserve"> </w:t>
    </w:r>
    <w:r>
      <w:rPr>
        <w:lang w:val="en-ID"/>
      </w:rPr>
      <w:t xml:space="preserve"> ISSN : </w:t>
    </w:r>
    <w:r w:rsidR="00744381">
      <w:rPr>
        <w:lang w:val="en-ID"/>
      </w:rPr>
      <w:t>2527-5321</w:t>
    </w:r>
    <w:r w:rsidR="00677C69">
      <w:rPr>
        <w:lang w:val="en-ID"/>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F6F4B1D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8D5AF8"/>
    <w:multiLevelType w:val="hybridMultilevel"/>
    <w:tmpl w:val="BBC86E60"/>
    <w:lvl w:ilvl="0" w:tplc="8126213E">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F223FAD"/>
    <w:multiLevelType w:val="hybridMultilevel"/>
    <w:tmpl w:val="A6B61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62477"/>
    <w:multiLevelType w:val="hybridMultilevel"/>
    <w:tmpl w:val="0324C850"/>
    <w:lvl w:ilvl="0" w:tplc="71E4C38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675B4"/>
    <w:multiLevelType w:val="hybridMultilevel"/>
    <w:tmpl w:val="7D8E53A2"/>
    <w:lvl w:ilvl="0" w:tplc="C2D26E7C">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35CEA"/>
    <w:multiLevelType w:val="multilevel"/>
    <w:tmpl w:val="71B0D90A"/>
    <w:lvl w:ilvl="0">
      <w:start w:val="1"/>
      <w:numFmt w:val="decimal"/>
      <w:lvlText w:val="%1."/>
      <w:lvlJc w:val="left"/>
      <w:pPr>
        <w:ind w:left="360" w:hanging="360"/>
      </w:pPr>
      <w:rPr>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E2C3D2D"/>
    <w:multiLevelType w:val="hybridMultilevel"/>
    <w:tmpl w:val="EDF46D5A"/>
    <w:lvl w:ilvl="0" w:tplc="0421000F">
      <w:start w:val="1"/>
      <w:numFmt w:val="decimal"/>
      <w:lvlText w:val="%1."/>
      <w:lvlJc w:val="left"/>
      <w:pPr>
        <w:ind w:left="0" w:hanging="360"/>
      </w:pPr>
      <w:rPr>
        <w:rFonts w:hint="default"/>
      </w:rPr>
    </w:lvl>
    <w:lvl w:ilvl="1" w:tplc="04210019">
      <w:start w:val="1"/>
      <w:numFmt w:val="lowerLetter"/>
      <w:lvlText w:val="%2."/>
      <w:lvlJc w:val="left"/>
      <w:pPr>
        <w:ind w:left="720" w:hanging="360"/>
      </w:pPr>
    </w:lvl>
    <w:lvl w:ilvl="2" w:tplc="0421001B">
      <w:start w:val="1"/>
      <w:numFmt w:val="lowerRoman"/>
      <w:lvlText w:val="%3."/>
      <w:lvlJc w:val="right"/>
      <w:pPr>
        <w:ind w:left="1440" w:hanging="180"/>
      </w:pPr>
    </w:lvl>
    <w:lvl w:ilvl="3" w:tplc="0421000F">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7">
    <w:nsid w:val="61512EC5"/>
    <w:multiLevelType w:val="hybridMultilevel"/>
    <w:tmpl w:val="E4761DD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5B76BB0"/>
    <w:multiLevelType w:val="hybridMultilevel"/>
    <w:tmpl w:val="0B2AB468"/>
    <w:lvl w:ilvl="0" w:tplc="7B5CDB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A6676"/>
    <w:multiLevelType w:val="hybridMultilevel"/>
    <w:tmpl w:val="9856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F51198"/>
    <w:multiLevelType w:val="multilevel"/>
    <w:tmpl w:val="78F51198"/>
    <w:lvl w:ilvl="0">
      <w:start w:val="1"/>
      <w:numFmt w:val="decimal"/>
      <w:lvlText w:val="%1."/>
      <w:lvlJc w:val="left"/>
      <w:pPr>
        <w:ind w:left="1425" w:hanging="360"/>
      </w:pPr>
      <w:rPr>
        <w:rFonts w:cs="Times New Roman"/>
        <w:b w:val="0"/>
      </w:rPr>
    </w:lvl>
    <w:lvl w:ilvl="1" w:tentative="1">
      <w:start w:val="1"/>
      <w:numFmt w:val="lowerLetter"/>
      <w:lvlText w:val="%2."/>
      <w:lvlJc w:val="left"/>
      <w:pPr>
        <w:ind w:left="2145" w:hanging="360"/>
      </w:pPr>
      <w:rPr>
        <w:rFonts w:cs="Times New Roman"/>
      </w:rPr>
    </w:lvl>
    <w:lvl w:ilvl="2" w:tentative="1">
      <w:start w:val="1"/>
      <w:numFmt w:val="lowerRoman"/>
      <w:lvlText w:val="%3."/>
      <w:lvlJc w:val="right"/>
      <w:pPr>
        <w:ind w:left="2865" w:hanging="180"/>
      </w:pPr>
      <w:rPr>
        <w:rFonts w:cs="Times New Roman"/>
      </w:rPr>
    </w:lvl>
    <w:lvl w:ilvl="3" w:tentative="1">
      <w:start w:val="1"/>
      <w:numFmt w:val="decimal"/>
      <w:lvlText w:val="%4."/>
      <w:lvlJc w:val="left"/>
      <w:pPr>
        <w:ind w:left="3585" w:hanging="360"/>
      </w:pPr>
      <w:rPr>
        <w:rFonts w:cs="Times New Roman"/>
      </w:rPr>
    </w:lvl>
    <w:lvl w:ilvl="4" w:tentative="1">
      <w:start w:val="1"/>
      <w:numFmt w:val="lowerLetter"/>
      <w:lvlText w:val="%5."/>
      <w:lvlJc w:val="left"/>
      <w:pPr>
        <w:ind w:left="4305" w:hanging="360"/>
      </w:pPr>
      <w:rPr>
        <w:rFonts w:cs="Times New Roman"/>
      </w:rPr>
    </w:lvl>
    <w:lvl w:ilvl="5" w:tentative="1">
      <w:start w:val="1"/>
      <w:numFmt w:val="lowerRoman"/>
      <w:lvlText w:val="%6."/>
      <w:lvlJc w:val="right"/>
      <w:pPr>
        <w:ind w:left="5025" w:hanging="180"/>
      </w:pPr>
      <w:rPr>
        <w:rFonts w:cs="Times New Roman"/>
      </w:rPr>
    </w:lvl>
    <w:lvl w:ilvl="6" w:tentative="1">
      <w:start w:val="1"/>
      <w:numFmt w:val="decimal"/>
      <w:lvlText w:val="%7."/>
      <w:lvlJc w:val="left"/>
      <w:pPr>
        <w:ind w:left="5745" w:hanging="360"/>
      </w:pPr>
      <w:rPr>
        <w:rFonts w:cs="Times New Roman"/>
      </w:rPr>
    </w:lvl>
    <w:lvl w:ilvl="7" w:tentative="1">
      <w:start w:val="1"/>
      <w:numFmt w:val="lowerLetter"/>
      <w:lvlText w:val="%8."/>
      <w:lvlJc w:val="left"/>
      <w:pPr>
        <w:ind w:left="6465" w:hanging="360"/>
      </w:pPr>
      <w:rPr>
        <w:rFonts w:cs="Times New Roman"/>
      </w:rPr>
    </w:lvl>
    <w:lvl w:ilvl="8" w:tentative="1">
      <w:start w:val="1"/>
      <w:numFmt w:val="lowerRoman"/>
      <w:lvlText w:val="%9."/>
      <w:lvlJc w:val="right"/>
      <w:pPr>
        <w:ind w:left="7185" w:hanging="180"/>
      </w:pPr>
      <w:rPr>
        <w:rFonts w:cs="Times New Roman"/>
      </w:rPr>
    </w:lvl>
  </w:abstractNum>
  <w:abstractNum w:abstractNumId="11">
    <w:nsid w:val="7C407A52"/>
    <w:multiLevelType w:val="multilevel"/>
    <w:tmpl w:val="7C407A52"/>
    <w:lvl w:ilvl="0">
      <w:start w:val="1"/>
      <w:numFmt w:val="upperLetter"/>
      <w:lvlText w:val="%1."/>
      <w:lvlJc w:val="left"/>
      <w:pPr>
        <w:ind w:left="360" w:hanging="360"/>
      </w:pPr>
      <w:rPr>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9"/>
  </w:num>
  <w:num w:numId="6">
    <w:abstractNumId w:val="8"/>
  </w:num>
  <w:num w:numId="7">
    <w:abstractNumId w:val="3"/>
  </w:num>
  <w:num w:numId="8">
    <w:abstractNumId w:val="11"/>
  </w:num>
  <w:num w:numId="9">
    <w:abstractNumId w:val="5"/>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A6296A"/>
    <w:rsid w:val="000111EF"/>
    <w:rsid w:val="00052C37"/>
    <w:rsid w:val="000B31C4"/>
    <w:rsid w:val="000C4308"/>
    <w:rsid w:val="000D0589"/>
    <w:rsid w:val="0010288F"/>
    <w:rsid w:val="0011180C"/>
    <w:rsid w:val="0016034E"/>
    <w:rsid w:val="001932A1"/>
    <w:rsid w:val="001B0551"/>
    <w:rsid w:val="001D0345"/>
    <w:rsid w:val="001E6F65"/>
    <w:rsid w:val="001F14DB"/>
    <w:rsid w:val="002B7264"/>
    <w:rsid w:val="00300228"/>
    <w:rsid w:val="00302F5E"/>
    <w:rsid w:val="00312AB0"/>
    <w:rsid w:val="0032114A"/>
    <w:rsid w:val="00326AB2"/>
    <w:rsid w:val="00335268"/>
    <w:rsid w:val="00380FE4"/>
    <w:rsid w:val="00387B40"/>
    <w:rsid w:val="003B38A2"/>
    <w:rsid w:val="003C08FA"/>
    <w:rsid w:val="003C7348"/>
    <w:rsid w:val="003D59DB"/>
    <w:rsid w:val="00415E0F"/>
    <w:rsid w:val="00440903"/>
    <w:rsid w:val="00442C79"/>
    <w:rsid w:val="004479C9"/>
    <w:rsid w:val="004D08CB"/>
    <w:rsid w:val="00515B84"/>
    <w:rsid w:val="00526CE3"/>
    <w:rsid w:val="00542782"/>
    <w:rsid w:val="00556019"/>
    <w:rsid w:val="00591C33"/>
    <w:rsid w:val="00597007"/>
    <w:rsid w:val="005B472F"/>
    <w:rsid w:val="005D3963"/>
    <w:rsid w:val="006437B9"/>
    <w:rsid w:val="006502F7"/>
    <w:rsid w:val="00665CBF"/>
    <w:rsid w:val="0066720C"/>
    <w:rsid w:val="00677C69"/>
    <w:rsid w:val="006B31B7"/>
    <w:rsid w:val="006C43C2"/>
    <w:rsid w:val="007113E8"/>
    <w:rsid w:val="00744381"/>
    <w:rsid w:val="00783768"/>
    <w:rsid w:val="007D2CD8"/>
    <w:rsid w:val="007E7051"/>
    <w:rsid w:val="0080495C"/>
    <w:rsid w:val="008066AF"/>
    <w:rsid w:val="00886782"/>
    <w:rsid w:val="00892237"/>
    <w:rsid w:val="008D1EFF"/>
    <w:rsid w:val="008E72FF"/>
    <w:rsid w:val="008F76A7"/>
    <w:rsid w:val="009214C3"/>
    <w:rsid w:val="00933E27"/>
    <w:rsid w:val="009547FB"/>
    <w:rsid w:val="009B6620"/>
    <w:rsid w:val="009D0F9C"/>
    <w:rsid w:val="009F405A"/>
    <w:rsid w:val="00A03CBE"/>
    <w:rsid w:val="00A6296A"/>
    <w:rsid w:val="00A8116D"/>
    <w:rsid w:val="00A8586C"/>
    <w:rsid w:val="00AB1DFC"/>
    <w:rsid w:val="00AB77D0"/>
    <w:rsid w:val="00B2442F"/>
    <w:rsid w:val="00B25D6D"/>
    <w:rsid w:val="00B444A8"/>
    <w:rsid w:val="00B50EA6"/>
    <w:rsid w:val="00B802F5"/>
    <w:rsid w:val="00B8668B"/>
    <w:rsid w:val="00BB799A"/>
    <w:rsid w:val="00BD150D"/>
    <w:rsid w:val="00C0593D"/>
    <w:rsid w:val="00C5629B"/>
    <w:rsid w:val="00C56454"/>
    <w:rsid w:val="00CA524E"/>
    <w:rsid w:val="00CE7563"/>
    <w:rsid w:val="00D21570"/>
    <w:rsid w:val="00D56207"/>
    <w:rsid w:val="00DB006D"/>
    <w:rsid w:val="00DE183E"/>
    <w:rsid w:val="00E95044"/>
    <w:rsid w:val="00EA2F74"/>
    <w:rsid w:val="00F058CA"/>
    <w:rsid w:val="00F173F9"/>
    <w:rsid w:val="00F80F0C"/>
    <w:rsid w:val="00FB2EE9"/>
    <w:rsid w:val="00FE030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6A"/>
    <w:pPr>
      <w:spacing w:after="0" w:line="240" w:lineRule="auto"/>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A6296A"/>
    <w:pPr>
      <w:adjustRightInd w:val="0"/>
      <w:snapToGrid w:val="0"/>
      <w:spacing w:before="120" w:after="120"/>
      <w:jc w:val="center"/>
    </w:pPr>
    <w:rPr>
      <w:rFonts w:eastAsia="Times New Roman"/>
      <w:sz w:val="22"/>
      <w:lang w:val="en-GB" w:eastAsia="en-GB"/>
    </w:rPr>
  </w:style>
  <w:style w:type="paragraph" w:customStyle="1" w:styleId="IEEETitle">
    <w:name w:val="IEEE Title"/>
    <w:basedOn w:val="Normal"/>
    <w:next w:val="IEEEAuthorName"/>
    <w:rsid w:val="00A6296A"/>
    <w:pPr>
      <w:adjustRightInd w:val="0"/>
      <w:snapToGrid w:val="0"/>
      <w:jc w:val="center"/>
    </w:pPr>
    <w:rPr>
      <w:sz w:val="48"/>
    </w:rPr>
  </w:style>
  <w:style w:type="character" w:styleId="Hyperlink">
    <w:name w:val="Hyperlink"/>
    <w:uiPriority w:val="99"/>
    <w:rsid w:val="00A6296A"/>
    <w:rPr>
      <w:color w:val="0000FF"/>
      <w:u w:val="single"/>
    </w:rPr>
  </w:style>
  <w:style w:type="paragraph" w:customStyle="1" w:styleId="IEEEHeading1">
    <w:name w:val="IEEE Heading 1"/>
    <w:basedOn w:val="Normal"/>
    <w:next w:val="Normal"/>
    <w:rsid w:val="00A6296A"/>
    <w:pPr>
      <w:numPr>
        <w:numId w:val="1"/>
      </w:numPr>
      <w:adjustRightInd w:val="0"/>
      <w:snapToGrid w:val="0"/>
      <w:spacing w:before="180" w:after="60"/>
      <w:ind w:left="289" w:hanging="289"/>
      <w:jc w:val="center"/>
    </w:pPr>
    <w:rPr>
      <w:smallCaps/>
      <w:sz w:val="20"/>
    </w:rPr>
  </w:style>
  <w:style w:type="paragraph" w:customStyle="1" w:styleId="IEEEParagraph">
    <w:name w:val="IEEE Paragraph"/>
    <w:basedOn w:val="Normal"/>
    <w:link w:val="IEEEParagraphChar"/>
    <w:rsid w:val="00A6296A"/>
    <w:pPr>
      <w:adjustRightInd w:val="0"/>
      <w:snapToGrid w:val="0"/>
      <w:ind w:firstLine="216"/>
      <w:jc w:val="both"/>
    </w:pPr>
    <w:rPr>
      <w:sz w:val="20"/>
    </w:rPr>
  </w:style>
  <w:style w:type="character" w:customStyle="1" w:styleId="IEEEParagraphChar">
    <w:name w:val="IEEE Paragraph Char"/>
    <w:basedOn w:val="DefaultParagraphFont"/>
    <w:link w:val="IEEEParagraph"/>
    <w:rsid w:val="00A6296A"/>
    <w:rPr>
      <w:rFonts w:ascii="Times New Roman" w:eastAsia="SimSun" w:hAnsi="Times New Roman" w:cs="Times New Roman"/>
      <w:sz w:val="20"/>
      <w:szCs w:val="24"/>
      <w:lang w:val="en-AU" w:eastAsia="zh-CN"/>
    </w:rPr>
  </w:style>
  <w:style w:type="paragraph" w:styleId="ListParagraph">
    <w:name w:val="List Paragraph"/>
    <w:basedOn w:val="Normal"/>
    <w:link w:val="ListParagraphChar"/>
    <w:uiPriority w:val="34"/>
    <w:qFormat/>
    <w:rsid w:val="00A6296A"/>
    <w:pPr>
      <w:ind w:left="720"/>
      <w:contextualSpacing/>
    </w:pPr>
  </w:style>
  <w:style w:type="character" w:customStyle="1" w:styleId="ListParagraphChar">
    <w:name w:val="List Paragraph Char"/>
    <w:basedOn w:val="DefaultParagraphFont"/>
    <w:link w:val="ListParagraph"/>
    <w:uiPriority w:val="34"/>
    <w:rsid w:val="00A6296A"/>
    <w:rPr>
      <w:rFonts w:ascii="Times New Roman" w:eastAsia="SimSun" w:hAnsi="Times New Roman" w:cs="Times New Roman"/>
      <w:sz w:val="24"/>
      <w:szCs w:val="24"/>
      <w:lang w:val="en-AU" w:eastAsia="zh-CN"/>
    </w:rPr>
  </w:style>
  <w:style w:type="table" w:styleId="TableGrid">
    <w:name w:val="Table Grid"/>
    <w:basedOn w:val="TableNormal"/>
    <w:uiPriority w:val="59"/>
    <w:rsid w:val="00A6296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72FF"/>
    <w:pPr>
      <w:tabs>
        <w:tab w:val="center" w:pos="4680"/>
        <w:tab w:val="right" w:pos="9360"/>
      </w:tabs>
    </w:pPr>
  </w:style>
  <w:style w:type="character" w:customStyle="1" w:styleId="HeaderChar">
    <w:name w:val="Header Char"/>
    <w:basedOn w:val="DefaultParagraphFont"/>
    <w:link w:val="Header"/>
    <w:uiPriority w:val="99"/>
    <w:rsid w:val="008E72FF"/>
    <w:rPr>
      <w:rFonts w:ascii="Times New Roman" w:eastAsia="SimSun" w:hAnsi="Times New Roman" w:cs="Times New Roman"/>
      <w:sz w:val="24"/>
      <w:szCs w:val="24"/>
      <w:lang w:val="en-AU" w:eastAsia="zh-CN"/>
    </w:rPr>
  </w:style>
  <w:style w:type="paragraph" w:styleId="Footer">
    <w:name w:val="footer"/>
    <w:basedOn w:val="Normal"/>
    <w:link w:val="FooterChar"/>
    <w:uiPriority w:val="99"/>
    <w:semiHidden/>
    <w:unhideWhenUsed/>
    <w:rsid w:val="008E72FF"/>
    <w:pPr>
      <w:tabs>
        <w:tab w:val="center" w:pos="4680"/>
        <w:tab w:val="right" w:pos="9360"/>
      </w:tabs>
    </w:pPr>
  </w:style>
  <w:style w:type="character" w:customStyle="1" w:styleId="FooterChar">
    <w:name w:val="Footer Char"/>
    <w:basedOn w:val="DefaultParagraphFont"/>
    <w:link w:val="Footer"/>
    <w:uiPriority w:val="99"/>
    <w:semiHidden/>
    <w:rsid w:val="008E72FF"/>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8E72FF"/>
    <w:rPr>
      <w:rFonts w:ascii="Tahoma" w:hAnsi="Tahoma" w:cs="Tahoma"/>
      <w:sz w:val="16"/>
      <w:szCs w:val="16"/>
    </w:rPr>
  </w:style>
  <w:style w:type="character" w:customStyle="1" w:styleId="BalloonTextChar">
    <w:name w:val="Balloon Text Char"/>
    <w:basedOn w:val="DefaultParagraphFont"/>
    <w:link w:val="BalloonText"/>
    <w:uiPriority w:val="99"/>
    <w:semiHidden/>
    <w:rsid w:val="008E72FF"/>
    <w:rPr>
      <w:rFonts w:ascii="Tahoma" w:eastAsia="SimSun" w:hAnsi="Tahoma" w:cs="Tahoma"/>
      <w:sz w:val="16"/>
      <w:szCs w:val="16"/>
      <w:lang w:val="en-AU" w:eastAsia="zh-CN"/>
    </w:rPr>
  </w:style>
  <w:style w:type="paragraph" w:customStyle="1" w:styleId="ListParagraph1">
    <w:name w:val="List Paragraph1"/>
    <w:basedOn w:val="Normal"/>
    <w:uiPriority w:val="34"/>
    <w:qFormat/>
    <w:rsid w:val="001E6F65"/>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6A"/>
    <w:pPr>
      <w:spacing w:after="0" w:line="240" w:lineRule="auto"/>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A6296A"/>
    <w:pPr>
      <w:adjustRightInd w:val="0"/>
      <w:snapToGrid w:val="0"/>
      <w:spacing w:before="120" w:after="120"/>
      <w:jc w:val="center"/>
    </w:pPr>
    <w:rPr>
      <w:rFonts w:eastAsia="Times New Roman"/>
      <w:sz w:val="22"/>
      <w:lang w:val="en-GB" w:eastAsia="en-GB"/>
    </w:rPr>
  </w:style>
  <w:style w:type="paragraph" w:customStyle="1" w:styleId="IEEETitle">
    <w:name w:val="IEEE Title"/>
    <w:basedOn w:val="Normal"/>
    <w:next w:val="IEEEAuthorName"/>
    <w:rsid w:val="00A6296A"/>
    <w:pPr>
      <w:adjustRightInd w:val="0"/>
      <w:snapToGrid w:val="0"/>
      <w:jc w:val="center"/>
    </w:pPr>
    <w:rPr>
      <w:sz w:val="48"/>
    </w:rPr>
  </w:style>
  <w:style w:type="character" w:styleId="Hyperlink">
    <w:name w:val="Hyperlink"/>
    <w:uiPriority w:val="99"/>
    <w:rsid w:val="00A6296A"/>
    <w:rPr>
      <w:color w:val="0000FF"/>
      <w:u w:val="single"/>
    </w:rPr>
  </w:style>
  <w:style w:type="paragraph" w:customStyle="1" w:styleId="IEEEHeading1">
    <w:name w:val="IEEE Heading 1"/>
    <w:basedOn w:val="Normal"/>
    <w:next w:val="Normal"/>
    <w:rsid w:val="00A6296A"/>
    <w:pPr>
      <w:numPr>
        <w:numId w:val="1"/>
      </w:numPr>
      <w:adjustRightInd w:val="0"/>
      <w:snapToGrid w:val="0"/>
      <w:spacing w:before="180" w:after="60"/>
      <w:ind w:left="289" w:hanging="289"/>
      <w:jc w:val="center"/>
    </w:pPr>
    <w:rPr>
      <w:smallCaps/>
      <w:sz w:val="20"/>
    </w:rPr>
  </w:style>
  <w:style w:type="paragraph" w:customStyle="1" w:styleId="IEEEParagraph">
    <w:name w:val="IEEE Paragraph"/>
    <w:basedOn w:val="Normal"/>
    <w:link w:val="IEEEParagraphChar"/>
    <w:rsid w:val="00A6296A"/>
    <w:pPr>
      <w:adjustRightInd w:val="0"/>
      <w:snapToGrid w:val="0"/>
      <w:ind w:firstLine="216"/>
      <w:jc w:val="both"/>
    </w:pPr>
    <w:rPr>
      <w:sz w:val="20"/>
    </w:rPr>
  </w:style>
  <w:style w:type="character" w:customStyle="1" w:styleId="IEEEParagraphChar">
    <w:name w:val="IEEE Paragraph Char"/>
    <w:basedOn w:val="DefaultParagraphFont"/>
    <w:link w:val="IEEEParagraph"/>
    <w:rsid w:val="00A6296A"/>
    <w:rPr>
      <w:rFonts w:ascii="Times New Roman" w:eastAsia="SimSun" w:hAnsi="Times New Roman" w:cs="Times New Roman"/>
      <w:sz w:val="20"/>
      <w:szCs w:val="24"/>
      <w:lang w:val="en-AU" w:eastAsia="zh-CN"/>
    </w:rPr>
  </w:style>
  <w:style w:type="paragraph" w:styleId="ListParagraph">
    <w:name w:val="List Paragraph"/>
    <w:basedOn w:val="Normal"/>
    <w:link w:val="ListParagraphChar"/>
    <w:uiPriority w:val="34"/>
    <w:qFormat/>
    <w:rsid w:val="00A6296A"/>
    <w:pPr>
      <w:ind w:left="720"/>
      <w:contextualSpacing/>
    </w:pPr>
  </w:style>
  <w:style w:type="character" w:customStyle="1" w:styleId="ListParagraphChar">
    <w:name w:val="List Paragraph Char"/>
    <w:basedOn w:val="DefaultParagraphFont"/>
    <w:link w:val="ListParagraph"/>
    <w:uiPriority w:val="34"/>
    <w:rsid w:val="00A6296A"/>
    <w:rPr>
      <w:rFonts w:ascii="Times New Roman" w:eastAsia="SimSun" w:hAnsi="Times New Roman" w:cs="Times New Roman"/>
      <w:sz w:val="24"/>
      <w:szCs w:val="24"/>
      <w:lang w:val="en-AU" w:eastAsia="zh-CN"/>
    </w:rPr>
  </w:style>
  <w:style w:type="table" w:styleId="TableGrid">
    <w:name w:val="Table Grid"/>
    <w:basedOn w:val="TableNormal"/>
    <w:uiPriority w:val="59"/>
    <w:rsid w:val="00A6296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syahril.rizal@binadarma.ac.id" TargetMode="External"/><Relationship Id="rId3" Type="http://schemas.openxmlformats.org/officeDocument/2006/relationships/settings" Target="settings.xml"/><Relationship Id="rId7" Type="http://schemas.openxmlformats.org/officeDocument/2006/relationships/hyperlink" Target="mailto:1rasmila@binadarma.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Penelitian%20Dosen\Pemula%202016\kuision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radarChart>
        <c:radarStyle val="marker"/>
        <c:ser>
          <c:idx val="0"/>
          <c:order val="0"/>
          <c:tx>
            <c:strRef>
              <c:f>Sheet2!$B$54</c:f>
              <c:strCache>
                <c:ptCount val="1"/>
                <c:pt idx="0">
                  <c:v>Kondisi saat ini</c:v>
                </c:pt>
              </c:strCache>
            </c:strRef>
          </c:tx>
          <c:cat>
            <c:strRef>
              <c:f>Sheet2!$A$55:$A$59</c:f>
              <c:strCache>
                <c:ptCount val="5"/>
                <c:pt idx="0">
                  <c:v>edm01</c:v>
                </c:pt>
                <c:pt idx="1">
                  <c:v>edm02</c:v>
                </c:pt>
                <c:pt idx="2">
                  <c:v>edm03</c:v>
                </c:pt>
                <c:pt idx="3">
                  <c:v>edm04</c:v>
                </c:pt>
                <c:pt idx="4">
                  <c:v>edm05</c:v>
                </c:pt>
              </c:strCache>
            </c:strRef>
          </c:cat>
          <c:val>
            <c:numRef>
              <c:f>Sheet2!$B$55:$B$59</c:f>
              <c:numCache>
                <c:formatCode>0.00</c:formatCode>
                <c:ptCount val="5"/>
                <c:pt idx="0">
                  <c:v>2.4249999999999998</c:v>
                </c:pt>
                <c:pt idx="1">
                  <c:v>2.2250000000000001</c:v>
                </c:pt>
                <c:pt idx="2">
                  <c:v>2</c:v>
                </c:pt>
                <c:pt idx="3">
                  <c:v>2.0249999999999999</c:v>
                </c:pt>
                <c:pt idx="4">
                  <c:v>2.0249999999999999</c:v>
                </c:pt>
              </c:numCache>
            </c:numRef>
          </c:val>
        </c:ser>
        <c:ser>
          <c:idx val="1"/>
          <c:order val="1"/>
          <c:tx>
            <c:strRef>
              <c:f>Sheet2!$C$54</c:f>
              <c:strCache>
                <c:ptCount val="1"/>
                <c:pt idx="0">
                  <c:v>Harapan</c:v>
                </c:pt>
              </c:strCache>
            </c:strRef>
          </c:tx>
          <c:cat>
            <c:strRef>
              <c:f>Sheet2!$A$55:$A$59</c:f>
              <c:strCache>
                <c:ptCount val="5"/>
                <c:pt idx="0">
                  <c:v>edm01</c:v>
                </c:pt>
                <c:pt idx="1">
                  <c:v>edm02</c:v>
                </c:pt>
                <c:pt idx="2">
                  <c:v>edm03</c:v>
                </c:pt>
                <c:pt idx="3">
                  <c:v>edm04</c:v>
                </c:pt>
                <c:pt idx="4">
                  <c:v>edm05</c:v>
                </c:pt>
              </c:strCache>
            </c:strRef>
          </c:cat>
          <c:val>
            <c:numRef>
              <c:f>Sheet2!$C$55:$C$59</c:f>
              <c:numCache>
                <c:formatCode>0.00</c:formatCode>
                <c:ptCount val="5"/>
                <c:pt idx="0">
                  <c:v>3.6</c:v>
                </c:pt>
                <c:pt idx="1">
                  <c:v>3.65</c:v>
                </c:pt>
                <c:pt idx="2">
                  <c:v>3.8</c:v>
                </c:pt>
                <c:pt idx="3">
                  <c:v>3.65</c:v>
                </c:pt>
                <c:pt idx="4">
                  <c:v>3.75</c:v>
                </c:pt>
              </c:numCache>
            </c:numRef>
          </c:val>
        </c:ser>
        <c:axId val="92481024"/>
        <c:axId val="98298496"/>
      </c:radarChart>
      <c:catAx>
        <c:axId val="92481024"/>
        <c:scaling>
          <c:orientation val="minMax"/>
        </c:scaling>
        <c:axPos val="b"/>
        <c:majorGridlines/>
        <c:tickLblPos val="nextTo"/>
        <c:crossAx val="98298496"/>
        <c:crosses val="autoZero"/>
        <c:auto val="1"/>
        <c:lblAlgn val="ctr"/>
        <c:lblOffset val="100"/>
      </c:catAx>
      <c:valAx>
        <c:axId val="98298496"/>
        <c:scaling>
          <c:orientation val="minMax"/>
        </c:scaling>
        <c:axPos val="l"/>
        <c:majorGridlines/>
        <c:numFmt formatCode="0.00" sourceLinked="1"/>
        <c:majorTickMark val="cross"/>
        <c:tickLblPos val="nextTo"/>
        <c:crossAx val="9248102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Fruit</Company>
  <LinksUpToDate>false</LinksUpToDate>
  <CharactersWithSpaces>19648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RIZAL</cp:lastModifiedBy>
  <cp:revision>2</cp:revision>
  <dcterms:created xsi:type="dcterms:W3CDTF">2016-09-29T07:52:00Z</dcterms:created>
  <dcterms:modified xsi:type="dcterms:W3CDTF">2016-09-29T07:52:00Z</dcterms:modified>
</cp:coreProperties>
</file>