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62" w:rsidRDefault="00040762" w:rsidP="005F1401">
      <w:pPr>
        <w:spacing w:line="360" w:lineRule="auto"/>
        <w:ind w:left="0" w:firstLine="0"/>
        <w:jc w:val="center"/>
        <w:rPr>
          <w:b/>
          <w:vertAlign w:val="superscript"/>
        </w:rPr>
      </w:pPr>
      <w:bookmarkStart w:id="0" w:name="_GoBack"/>
      <w:bookmarkEnd w:id="0"/>
      <w:r>
        <w:rPr>
          <w:b/>
        </w:rPr>
        <w:t>PENGARUH</w:t>
      </w:r>
      <w:r w:rsidR="000B6CCC" w:rsidRPr="000B6CCC">
        <w:rPr>
          <w:b/>
        </w:rPr>
        <w:t xml:space="preserve"> FAKTOR AKUNTANSI DAN NON AKUNTANSI </w:t>
      </w:r>
      <w:r>
        <w:rPr>
          <w:b/>
        </w:rPr>
        <w:t>TERHADAP PREDIKSI PERINGKAT OBLIGASI</w:t>
      </w:r>
    </w:p>
    <w:p w:rsidR="00F16D24" w:rsidRPr="00F16D24" w:rsidRDefault="00F16D24" w:rsidP="00F16D24">
      <w:pPr>
        <w:spacing w:line="360" w:lineRule="auto"/>
        <w:ind w:left="0" w:firstLine="0"/>
        <w:jc w:val="center"/>
        <w:rPr>
          <w:b/>
          <w:sz w:val="12"/>
          <w:szCs w:val="12"/>
        </w:rPr>
      </w:pPr>
    </w:p>
    <w:p w:rsidR="000B6CCC" w:rsidRDefault="000B6CCC" w:rsidP="005F1401">
      <w:pPr>
        <w:spacing w:line="360" w:lineRule="auto"/>
        <w:ind w:left="0" w:firstLine="0"/>
        <w:jc w:val="center"/>
        <w:rPr>
          <w:b/>
          <w:sz w:val="12"/>
          <w:szCs w:val="12"/>
          <w:vertAlign w:val="superscript"/>
        </w:rPr>
      </w:pPr>
      <w:r w:rsidRPr="00040762">
        <w:rPr>
          <w:b/>
          <w:sz w:val="20"/>
          <w:szCs w:val="20"/>
        </w:rPr>
        <w:t>Ike Pitriani</w:t>
      </w:r>
      <w:r w:rsidRPr="00040762">
        <w:rPr>
          <w:b/>
          <w:sz w:val="20"/>
          <w:szCs w:val="20"/>
          <w:vertAlign w:val="superscript"/>
        </w:rPr>
        <w:t>1</w:t>
      </w:r>
      <w:r w:rsidRPr="00040762">
        <w:rPr>
          <w:b/>
          <w:sz w:val="20"/>
          <w:szCs w:val="20"/>
        </w:rPr>
        <w:t>, Poppy Indriani</w:t>
      </w:r>
      <w:r w:rsidRPr="00040762">
        <w:rPr>
          <w:b/>
          <w:sz w:val="20"/>
          <w:szCs w:val="20"/>
          <w:vertAlign w:val="superscript"/>
        </w:rPr>
        <w:t>2</w:t>
      </w:r>
      <w:r w:rsidRPr="00040762">
        <w:rPr>
          <w:b/>
          <w:sz w:val="20"/>
          <w:szCs w:val="20"/>
        </w:rPr>
        <w:t xml:space="preserve">, Andrian </w:t>
      </w:r>
      <w:r w:rsidRPr="004E069D">
        <w:rPr>
          <w:b/>
          <w:sz w:val="20"/>
          <w:szCs w:val="20"/>
        </w:rPr>
        <w:t>Noviardy</w:t>
      </w:r>
      <w:r w:rsidRPr="004E069D">
        <w:rPr>
          <w:b/>
          <w:sz w:val="20"/>
          <w:szCs w:val="20"/>
          <w:vertAlign w:val="superscript"/>
        </w:rPr>
        <w:t>3</w:t>
      </w:r>
    </w:p>
    <w:p w:rsidR="004E069D" w:rsidRDefault="004E069D" w:rsidP="005F1401">
      <w:pPr>
        <w:spacing w:line="360" w:lineRule="auto"/>
        <w:ind w:left="0" w:firstLine="0"/>
        <w:jc w:val="center"/>
        <w:rPr>
          <w:b/>
          <w:sz w:val="8"/>
          <w:szCs w:val="8"/>
        </w:rPr>
      </w:pPr>
    </w:p>
    <w:p w:rsidR="004E069D" w:rsidRPr="004E069D" w:rsidRDefault="004E069D" w:rsidP="005F1401">
      <w:pPr>
        <w:spacing w:line="360" w:lineRule="auto"/>
        <w:ind w:left="0" w:firstLine="0"/>
        <w:jc w:val="center"/>
        <w:rPr>
          <w:b/>
          <w:sz w:val="8"/>
          <w:szCs w:val="8"/>
        </w:rPr>
      </w:pPr>
    </w:p>
    <w:p w:rsidR="000B6CCC" w:rsidRPr="00040762" w:rsidRDefault="000B6CCC" w:rsidP="005F1401">
      <w:pPr>
        <w:spacing w:line="360" w:lineRule="auto"/>
        <w:ind w:left="0" w:firstLine="0"/>
        <w:jc w:val="center"/>
        <w:rPr>
          <w:sz w:val="20"/>
          <w:szCs w:val="20"/>
        </w:rPr>
      </w:pPr>
      <w:r w:rsidRPr="00040762">
        <w:rPr>
          <w:sz w:val="20"/>
          <w:szCs w:val="20"/>
        </w:rPr>
        <w:t>Fakultas Ekonomi dan</w:t>
      </w:r>
      <w:r w:rsidR="00F16D24">
        <w:rPr>
          <w:sz w:val="20"/>
          <w:szCs w:val="20"/>
        </w:rPr>
        <w:t xml:space="preserve"> Bisnis, Universitas Bina Darma</w:t>
      </w:r>
    </w:p>
    <w:p w:rsidR="000B6CCC" w:rsidRDefault="00C125E5" w:rsidP="005F1401">
      <w:pPr>
        <w:spacing w:line="360" w:lineRule="auto"/>
        <w:ind w:left="0" w:firstLine="0"/>
        <w:jc w:val="center"/>
        <w:rPr>
          <w:sz w:val="8"/>
          <w:szCs w:val="8"/>
          <w:vertAlign w:val="superscript"/>
        </w:rPr>
      </w:pPr>
      <w:hyperlink r:id="rId8" w:history="1">
        <w:r w:rsidR="00F16D24" w:rsidRPr="00E22FEB">
          <w:rPr>
            <w:rStyle w:val="Hyperlink"/>
            <w:sz w:val="20"/>
            <w:szCs w:val="20"/>
          </w:rPr>
          <w:t>ikepitriani1@gmail.com</w:t>
        </w:r>
        <w:r w:rsidR="00F16D24" w:rsidRPr="00E22FEB">
          <w:rPr>
            <w:rStyle w:val="Hyperlink"/>
            <w:sz w:val="20"/>
            <w:szCs w:val="20"/>
            <w:vertAlign w:val="superscript"/>
          </w:rPr>
          <w:t>1</w:t>
        </w:r>
      </w:hyperlink>
      <w:r w:rsidR="00F16D24">
        <w:rPr>
          <w:sz w:val="20"/>
          <w:szCs w:val="20"/>
        </w:rPr>
        <w:t>,</w:t>
      </w:r>
      <w:r w:rsidR="00F16D24">
        <w:rPr>
          <w:sz w:val="20"/>
          <w:szCs w:val="20"/>
          <w:vertAlign w:val="superscript"/>
        </w:rPr>
        <w:t xml:space="preserve"> </w:t>
      </w:r>
      <w:hyperlink r:id="rId9" w:history="1">
        <w:r w:rsidR="00F16D24" w:rsidRPr="00E22FEB">
          <w:rPr>
            <w:rStyle w:val="Hyperlink"/>
            <w:sz w:val="20"/>
            <w:szCs w:val="20"/>
          </w:rPr>
          <w:t>poppy.indriani@binadarma.ac.id</w:t>
        </w:r>
        <w:r w:rsidR="00F16D24" w:rsidRPr="00E22FEB">
          <w:rPr>
            <w:rStyle w:val="Hyperlink"/>
            <w:sz w:val="20"/>
            <w:szCs w:val="20"/>
            <w:vertAlign w:val="superscript"/>
          </w:rPr>
          <w:t>2</w:t>
        </w:r>
      </w:hyperlink>
      <w:r w:rsidR="00F16D24">
        <w:rPr>
          <w:sz w:val="20"/>
          <w:szCs w:val="20"/>
        </w:rPr>
        <w:t xml:space="preserve">, </w:t>
      </w:r>
      <w:hyperlink r:id="rId10" w:history="1">
        <w:r w:rsidR="00F16D24" w:rsidRPr="00E22FEB">
          <w:rPr>
            <w:rStyle w:val="Hyperlink"/>
            <w:sz w:val="20"/>
            <w:szCs w:val="20"/>
          </w:rPr>
          <w:t>andrian.noviardy@binadarma.ac.id</w:t>
        </w:r>
        <w:r w:rsidR="00F16D24" w:rsidRPr="00E22FEB">
          <w:rPr>
            <w:rStyle w:val="Hyperlink"/>
            <w:sz w:val="20"/>
            <w:szCs w:val="20"/>
            <w:vertAlign w:val="superscript"/>
          </w:rPr>
          <w:t>3</w:t>
        </w:r>
      </w:hyperlink>
    </w:p>
    <w:p w:rsidR="00F16D24" w:rsidRDefault="00F16D24" w:rsidP="005F1401">
      <w:pPr>
        <w:spacing w:line="360" w:lineRule="auto"/>
        <w:ind w:left="0" w:firstLine="0"/>
        <w:jc w:val="center"/>
        <w:rPr>
          <w:sz w:val="8"/>
          <w:szCs w:val="8"/>
          <w:vertAlign w:val="superscript"/>
        </w:rPr>
      </w:pPr>
    </w:p>
    <w:p w:rsidR="00F16D24" w:rsidRPr="00F16D24" w:rsidRDefault="00F16D24" w:rsidP="005F1401">
      <w:pPr>
        <w:spacing w:line="360" w:lineRule="auto"/>
        <w:ind w:left="0" w:firstLine="0"/>
        <w:jc w:val="center"/>
        <w:rPr>
          <w:sz w:val="8"/>
          <w:szCs w:val="8"/>
          <w:vertAlign w:val="superscript"/>
        </w:rPr>
      </w:pPr>
    </w:p>
    <w:p w:rsidR="00F16D24" w:rsidRPr="005265A7" w:rsidRDefault="00F16D24" w:rsidP="005265A7">
      <w:pPr>
        <w:spacing w:line="240" w:lineRule="auto"/>
        <w:ind w:left="0" w:firstLine="0"/>
        <w:jc w:val="center"/>
        <w:rPr>
          <w:b/>
          <w:i/>
          <w:iCs/>
          <w:sz w:val="22"/>
        </w:rPr>
      </w:pPr>
      <w:r w:rsidRPr="00040762">
        <w:rPr>
          <w:b/>
          <w:i/>
          <w:iCs/>
          <w:sz w:val="22"/>
        </w:rPr>
        <w:t>Abstract</w:t>
      </w:r>
    </w:p>
    <w:p w:rsidR="000B6CCC" w:rsidRPr="00040762" w:rsidRDefault="00F16D24" w:rsidP="00F16D24">
      <w:pPr>
        <w:spacing w:line="240" w:lineRule="auto"/>
        <w:ind w:left="0" w:firstLine="0"/>
        <w:jc w:val="both"/>
        <w:rPr>
          <w:i/>
          <w:iCs/>
          <w:sz w:val="22"/>
        </w:rPr>
      </w:pPr>
      <w:r w:rsidRPr="00F16D24">
        <w:rPr>
          <w:i/>
          <w:iCs/>
          <w:sz w:val="22"/>
        </w:rPr>
        <w:t>Bond rating is something condition that should be considered before investors make an investment bond. This is because bond rating provides an informative statement and provide signals about the probability of failure of a company's debt. In a process of bond rating valuation, rating agent evaluate a company from many aspects, including fina</w:t>
      </w:r>
      <w:r w:rsidR="005265A7">
        <w:rPr>
          <w:i/>
          <w:iCs/>
          <w:sz w:val="22"/>
        </w:rPr>
        <w:t xml:space="preserve">ncial and non financial factor. </w:t>
      </w:r>
      <w:r w:rsidR="000B6CCC" w:rsidRPr="00040762">
        <w:rPr>
          <w:i/>
          <w:iCs/>
          <w:sz w:val="22"/>
        </w:rPr>
        <w:t>The purpose of this study was to determine the effect of liquidity ratio, leverage ratio, coverage ratio, cash flow to debt ratio, profitability ratio, bond maturity</w:t>
      </w:r>
      <w:r w:rsidR="000B6CCC" w:rsidRPr="00040762">
        <w:rPr>
          <w:sz w:val="22"/>
        </w:rPr>
        <w:t xml:space="preserve"> </w:t>
      </w:r>
      <w:r w:rsidR="000B6CCC" w:rsidRPr="00040762">
        <w:rPr>
          <w:i/>
          <w:iCs/>
          <w:sz w:val="22"/>
        </w:rPr>
        <w:t>towards the bond rating from PT. PEFINDO in Indonesia Stock Exchange (IDX)2013-2014.</w:t>
      </w:r>
      <w:r w:rsidR="000B6CCC" w:rsidRPr="00040762">
        <w:rPr>
          <w:sz w:val="22"/>
        </w:rPr>
        <w:t xml:space="preserve"> </w:t>
      </w:r>
      <w:r w:rsidR="000B6CCC" w:rsidRPr="00040762">
        <w:rPr>
          <w:i/>
          <w:iCs/>
          <w:sz w:val="22"/>
        </w:rPr>
        <w:t>This study used a non-participant observation method by analyzing financial statements and corporate bond data which published on the official website of the Stock Exchange (www.idx.co.id). The sample was 15 companies which are taken by purposive sampling method. The data analysis technique used is logistic regression. The results of this study indicate that leverage partially negative and significant, while simultaneously liquidity ratio, leverage ratio, coverage ratio, cash flow to debt ratio, profitability ratio, bond maturity significant effect impact on the ratings of bonds issued by PT. PEFINDO on the Indonesia Stock Exchange 2013-2014.</w:t>
      </w:r>
    </w:p>
    <w:p w:rsidR="00E1552A" w:rsidRPr="00040762" w:rsidRDefault="00E1552A" w:rsidP="005F1401">
      <w:pPr>
        <w:spacing w:line="240" w:lineRule="auto"/>
        <w:ind w:left="0" w:firstLine="0"/>
        <w:jc w:val="center"/>
        <w:rPr>
          <w:b/>
          <w:bCs/>
          <w:i/>
          <w:iCs/>
          <w:sz w:val="22"/>
        </w:rPr>
      </w:pPr>
    </w:p>
    <w:p w:rsidR="000B6CCC" w:rsidRPr="00040762" w:rsidRDefault="000B6CCC" w:rsidP="005F1401">
      <w:pPr>
        <w:spacing w:line="240" w:lineRule="auto"/>
        <w:ind w:left="0" w:firstLine="0"/>
        <w:rPr>
          <w:i/>
          <w:iCs/>
          <w:sz w:val="22"/>
        </w:rPr>
      </w:pPr>
      <w:r w:rsidRPr="00040762">
        <w:rPr>
          <w:b/>
          <w:bCs/>
          <w:i/>
          <w:iCs/>
          <w:sz w:val="22"/>
        </w:rPr>
        <w:t xml:space="preserve">Keywords: </w:t>
      </w:r>
      <w:r w:rsidR="005265A7">
        <w:rPr>
          <w:i/>
          <w:iCs/>
          <w:sz w:val="22"/>
        </w:rPr>
        <w:t xml:space="preserve">Bond rating, </w:t>
      </w:r>
      <w:r w:rsidR="008C6B84">
        <w:rPr>
          <w:i/>
          <w:iCs/>
          <w:sz w:val="22"/>
        </w:rPr>
        <w:t>accounting factor</w:t>
      </w:r>
      <w:r w:rsidR="005265A7">
        <w:rPr>
          <w:i/>
          <w:iCs/>
          <w:sz w:val="22"/>
        </w:rPr>
        <w:t>,</w:t>
      </w:r>
      <w:r w:rsidR="005265A7" w:rsidRPr="005265A7">
        <w:rPr>
          <w:i/>
          <w:iCs/>
          <w:sz w:val="22"/>
        </w:rPr>
        <w:t xml:space="preserve"> non </w:t>
      </w:r>
      <w:r w:rsidR="008C6B84">
        <w:rPr>
          <w:i/>
          <w:iCs/>
          <w:sz w:val="22"/>
        </w:rPr>
        <w:t>accounting</w:t>
      </w:r>
      <w:r w:rsidR="005265A7" w:rsidRPr="005265A7">
        <w:rPr>
          <w:i/>
          <w:iCs/>
          <w:sz w:val="22"/>
        </w:rPr>
        <w:t xml:space="preserve"> factor</w:t>
      </w:r>
    </w:p>
    <w:p w:rsidR="000B6CCC" w:rsidRDefault="000B6CCC" w:rsidP="005F1401">
      <w:pPr>
        <w:spacing w:line="360" w:lineRule="auto"/>
        <w:ind w:left="0" w:firstLine="0"/>
        <w:jc w:val="center"/>
      </w:pPr>
    </w:p>
    <w:p w:rsidR="00E1552A" w:rsidRPr="005C5FA5" w:rsidRDefault="00347313" w:rsidP="0098783B">
      <w:pPr>
        <w:spacing w:line="360" w:lineRule="auto"/>
        <w:ind w:left="0" w:firstLine="0"/>
        <w:jc w:val="both"/>
        <w:rPr>
          <w:b/>
          <w:sz w:val="22"/>
        </w:rPr>
      </w:pPr>
      <w:r w:rsidRPr="005C5FA5">
        <w:rPr>
          <w:b/>
          <w:sz w:val="22"/>
        </w:rPr>
        <w:t xml:space="preserve">1. </w:t>
      </w:r>
      <w:r w:rsidR="00E1552A" w:rsidRPr="005C5FA5">
        <w:rPr>
          <w:b/>
          <w:sz w:val="22"/>
        </w:rPr>
        <w:t>PENDAHULUAN</w:t>
      </w:r>
    </w:p>
    <w:p w:rsidR="00E1552A" w:rsidRPr="00040762" w:rsidRDefault="00347313" w:rsidP="00347313">
      <w:pPr>
        <w:spacing w:line="360" w:lineRule="auto"/>
        <w:ind w:left="0" w:firstLine="0"/>
        <w:jc w:val="both"/>
        <w:rPr>
          <w:sz w:val="22"/>
        </w:rPr>
      </w:pPr>
      <w:r>
        <w:rPr>
          <w:b/>
        </w:rPr>
        <w:tab/>
      </w:r>
      <w:r w:rsidR="00E1552A" w:rsidRPr="00040762">
        <w:rPr>
          <w:rFonts w:eastAsia="Calibri" w:cs="Times New Roman"/>
          <w:sz w:val="22"/>
        </w:rPr>
        <w:t>Di era globalisasi ini, pasar modal (</w:t>
      </w:r>
      <w:r w:rsidR="00E1552A" w:rsidRPr="00040762">
        <w:rPr>
          <w:rFonts w:eastAsia="Calibri" w:cs="Times New Roman"/>
          <w:i/>
          <w:sz w:val="22"/>
        </w:rPr>
        <w:t>capital market</w:t>
      </w:r>
      <w:r w:rsidR="00E1552A" w:rsidRPr="00040762">
        <w:rPr>
          <w:rFonts w:eastAsia="Calibri" w:cs="Times New Roman"/>
          <w:sz w:val="22"/>
        </w:rPr>
        <w:t>) merupakan jantung perekonomian suatu negara. Pasar modal menjadi suatu yang penting dan sangat berharga karena pasar modal adalah ujung yang paling awal tersentuh globalisasi dunia keuangan. Hampir semua negara menaruh perhatian besar terhadap pasar modal karena pasar modal memiliki peranan strategis bagi penguatan ketahanan ekonomi suatu negara.</w:t>
      </w:r>
      <w:r w:rsidR="006B50E8" w:rsidRPr="00040762">
        <w:rPr>
          <w:sz w:val="22"/>
        </w:rPr>
        <w:t xml:space="preserve"> </w:t>
      </w:r>
      <w:r w:rsidR="00E1552A" w:rsidRPr="00040762">
        <w:rPr>
          <w:rFonts w:eastAsia="Calibri" w:cs="Times New Roman"/>
          <w:sz w:val="22"/>
        </w:rPr>
        <w:t>Perkembangan pasar modal yang pesat memiliki peran penting dalam meningkatkan pertumbuhan perekonomian karena pasar modal memiliki fungsi, yaitu sebagai sarana bagi perusahaan untuk mendapatkan dana dari masyarakat/pemodal (investor) dan sarana bagi masyarakat untuk berinvestasi pada instrumen keuangan seperti saham, obligasi, reksa dana dan lain-lain. Dengan demikian, masyarakat dapat menempatkan dana yang dimilikinya sesuai dengan karakteristik keuntungan dan risiko masing-masing instrumen.</w:t>
      </w:r>
    </w:p>
    <w:p w:rsidR="00E1552A" w:rsidRPr="00040762" w:rsidRDefault="00E1552A" w:rsidP="0098783B">
      <w:pPr>
        <w:spacing w:line="360" w:lineRule="auto"/>
        <w:ind w:left="0" w:firstLine="0"/>
        <w:jc w:val="both"/>
        <w:rPr>
          <w:sz w:val="22"/>
        </w:rPr>
      </w:pPr>
      <w:r w:rsidRPr="00040762">
        <w:rPr>
          <w:sz w:val="22"/>
        </w:rPr>
        <w:tab/>
      </w:r>
      <w:r w:rsidRPr="00040762">
        <w:rPr>
          <w:rFonts w:eastAsia="Calibri" w:cs="Times New Roman"/>
          <w:sz w:val="22"/>
        </w:rPr>
        <w:t>Salah satu instrumen pasar modal yang banyak diminati oleh perusahaan emiten maupun masyarakat/pemodal (investor) adalah obligasi.</w:t>
      </w:r>
      <w:r w:rsidRPr="00040762">
        <w:rPr>
          <w:sz w:val="22"/>
        </w:rPr>
        <w:t xml:space="preserve"> </w:t>
      </w:r>
      <w:r w:rsidRPr="00040762">
        <w:rPr>
          <w:rFonts w:eastAsia="Calibri" w:cs="Times New Roman"/>
          <w:sz w:val="22"/>
        </w:rPr>
        <w:t>Hal ini dikarenakan obligasi dinilai memiliki keunggulan dibanding saham. Bagi emiten, obligasi merupakan sekuritas yang aman karena biaya emisinya lebih murah dari pada saham. Selain itu, penerbitan obligasi juga untuk menghindari penilaian jelek investor dibandingkan jika perusahaan menerbitkan saham baru. Sedangkan bagi pemodal, obligasi merupakan investasi yang memiliki pendapatan yang bersifat tetap dan juga relatif aman.</w:t>
      </w:r>
      <w:r w:rsidR="003249DD" w:rsidRPr="00040762">
        <w:rPr>
          <w:sz w:val="22"/>
        </w:rPr>
        <w:t xml:space="preserve"> </w:t>
      </w:r>
      <w:r w:rsidR="003249DD" w:rsidRPr="00040762">
        <w:rPr>
          <w:rFonts w:eastAsia="Calibri" w:cs="Times New Roman"/>
          <w:sz w:val="22"/>
        </w:rPr>
        <w:t xml:space="preserve">Meskipun begitu obligasi juga memiliki berbagai macam risiko, salah satunya yaitu risiko gagal </w:t>
      </w:r>
      <w:r w:rsidR="003249DD" w:rsidRPr="00040762">
        <w:rPr>
          <w:rFonts w:eastAsia="Calibri" w:cs="Times New Roman"/>
          <w:sz w:val="22"/>
        </w:rPr>
        <w:lastRenderedPageBreak/>
        <w:t>bayar</w:t>
      </w:r>
      <w:r w:rsidR="003249DD" w:rsidRPr="00040762">
        <w:rPr>
          <w:sz w:val="22"/>
        </w:rPr>
        <w:t xml:space="preserve">. </w:t>
      </w:r>
      <w:r w:rsidR="003249DD" w:rsidRPr="00040762">
        <w:rPr>
          <w:rFonts w:eastAsia="Calibri" w:cs="Times New Roman"/>
          <w:sz w:val="22"/>
        </w:rPr>
        <w:t>Oleh sebab itu calon investor memerlukan informasi yang cukup tentang obligasi agar bisa menganalisis dan memperkirakan risiko yang ada dalam investasi pada obligasi. Salah satu yang dapat dijadikan acuan dalam mencari informasi tersebut ialah peringkat obligasi.</w:t>
      </w:r>
    </w:p>
    <w:p w:rsidR="005265A7" w:rsidRDefault="003249DD" w:rsidP="0098783B">
      <w:pPr>
        <w:spacing w:line="360" w:lineRule="auto"/>
        <w:ind w:left="0" w:firstLine="0"/>
        <w:jc w:val="both"/>
        <w:rPr>
          <w:sz w:val="22"/>
        </w:rPr>
      </w:pPr>
      <w:r w:rsidRPr="00040762">
        <w:rPr>
          <w:sz w:val="22"/>
        </w:rPr>
        <w:tab/>
        <w:t>Di Indonesia terdapat dua lembaga pemeringkat efek yaitu PT Kasnic Cresit Rating dan PT Pefindo. Namun</w:t>
      </w:r>
      <w:r w:rsidR="00FC553D">
        <w:rPr>
          <w:sz w:val="22"/>
        </w:rPr>
        <w:t>,</w:t>
      </w:r>
      <w:r w:rsidRPr="00040762">
        <w:rPr>
          <w:sz w:val="22"/>
        </w:rPr>
        <w:t xml:space="preserve"> </w:t>
      </w:r>
      <w:r w:rsidRPr="00040762">
        <w:rPr>
          <w:rFonts w:eastAsia="Calibri" w:cs="Times New Roman"/>
          <w:sz w:val="22"/>
        </w:rPr>
        <w:t xml:space="preserve">perusahaan-perusahaan yang terdaftar di Bursa Efek Indonesia lebih banyak yang menggunakan jasa </w:t>
      </w:r>
      <w:r w:rsidRPr="00040762">
        <w:rPr>
          <w:sz w:val="22"/>
        </w:rPr>
        <w:t>Pefindo</w:t>
      </w:r>
      <w:r w:rsidRPr="00040762">
        <w:rPr>
          <w:rFonts w:eastAsia="Calibri" w:cs="Times New Roman"/>
          <w:sz w:val="22"/>
        </w:rPr>
        <w:t xml:space="preserve"> untuk memeringkat obligasi yang akan diterbitkan.</w:t>
      </w:r>
      <w:r w:rsidRPr="00040762">
        <w:rPr>
          <w:sz w:val="22"/>
        </w:rPr>
        <w:t xml:space="preserve"> Aspek penilaian obligasi yang dilakukan PT Pefindo berdasarkan pada tiga hal, yaitu aspek bisnis, asp</w:t>
      </w:r>
      <w:r w:rsidR="005265A7">
        <w:rPr>
          <w:sz w:val="22"/>
        </w:rPr>
        <w:t>ek industri dan aspek keuangan.</w:t>
      </w:r>
    </w:p>
    <w:p w:rsidR="006B50E8" w:rsidRPr="00040762" w:rsidRDefault="00BC3DED" w:rsidP="0098783B">
      <w:pPr>
        <w:spacing w:line="360" w:lineRule="auto"/>
        <w:ind w:left="0" w:firstLine="0"/>
        <w:jc w:val="both"/>
        <w:rPr>
          <w:iCs/>
          <w:sz w:val="22"/>
        </w:rPr>
      </w:pPr>
      <w:r>
        <w:rPr>
          <w:sz w:val="22"/>
        </w:rPr>
        <w:tab/>
      </w:r>
      <w:r>
        <w:rPr>
          <w:iCs/>
          <w:sz w:val="22"/>
        </w:rPr>
        <w:t>B</w:t>
      </w:r>
      <w:r w:rsidR="00347313">
        <w:rPr>
          <w:sz w:val="22"/>
        </w:rPr>
        <w:t>eberapa penelitian</w:t>
      </w:r>
      <w:r w:rsidR="005265A7">
        <w:rPr>
          <w:sz w:val="22"/>
        </w:rPr>
        <w:t xml:space="preserve"> terdahulu telah membuktikan bahwa faktor akuntansi dan non akuntansi mampu memprediksi pe</w:t>
      </w:r>
      <w:r w:rsidR="00347313">
        <w:rPr>
          <w:sz w:val="22"/>
        </w:rPr>
        <w:t>ringkat obligasi</w:t>
      </w:r>
      <w:r>
        <w:rPr>
          <w:sz w:val="22"/>
        </w:rPr>
        <w:t xml:space="preserve"> yang dilakukan oleh PT Pefindo. N</w:t>
      </w:r>
      <w:r w:rsidR="00347313">
        <w:rPr>
          <w:sz w:val="22"/>
        </w:rPr>
        <w:t>amun</w:t>
      </w:r>
      <w:r>
        <w:rPr>
          <w:sz w:val="22"/>
        </w:rPr>
        <w:t>,</w:t>
      </w:r>
      <w:r w:rsidR="00347313">
        <w:rPr>
          <w:sz w:val="22"/>
        </w:rPr>
        <w:t xml:space="preserve"> hasil penelitian </w:t>
      </w:r>
      <w:r w:rsidR="005265A7">
        <w:rPr>
          <w:sz w:val="22"/>
        </w:rPr>
        <w:t xml:space="preserve"> </w:t>
      </w:r>
      <w:r w:rsidR="00347313" w:rsidRPr="00347313">
        <w:rPr>
          <w:rFonts w:eastAsia="Calibri" w:cs="Times New Roman"/>
          <w:sz w:val="22"/>
        </w:rPr>
        <w:t>menunjukkan hasil yang bervariasi dan tidak konsisten antara penelitian yang satu dengan lainnya, mengenai faktor-faktor yang berpengaruh terhadap prediksi peringkat obligasi.</w:t>
      </w:r>
      <w:r>
        <w:rPr>
          <w:iCs/>
          <w:sz w:val="22"/>
        </w:rPr>
        <w:t xml:space="preserve"> Selain itu, p</w:t>
      </w:r>
      <w:r w:rsidRPr="00BC3DED">
        <w:rPr>
          <w:iCs/>
          <w:sz w:val="22"/>
        </w:rPr>
        <w:t xml:space="preserve">ermasalahan yang masih sering terjadi sampai sekarang ini ialah masih ada perusahaan yang awalnya memperoleh peringkat </w:t>
      </w:r>
      <w:r w:rsidRPr="00BC3DED">
        <w:rPr>
          <w:i/>
          <w:iCs/>
          <w:sz w:val="22"/>
        </w:rPr>
        <w:t xml:space="preserve">investment grade </w:t>
      </w:r>
      <w:r w:rsidRPr="00BC3DED">
        <w:rPr>
          <w:iCs/>
          <w:sz w:val="22"/>
        </w:rPr>
        <w:t>tapi masih mengalami gagal bayar. Khususnya perusahaan swasta yang bukan lembaga keuangan</w:t>
      </w:r>
      <w:r>
        <w:rPr>
          <w:iCs/>
          <w:sz w:val="22"/>
        </w:rPr>
        <w:t>. Penulis tertarik untuk meneliti kembali, dimana p</w:t>
      </w:r>
      <w:r w:rsidR="006B50E8" w:rsidRPr="00040762">
        <w:rPr>
          <w:iCs/>
          <w:sz w:val="22"/>
        </w:rPr>
        <w:t xml:space="preserve">enelitian ini </w:t>
      </w:r>
      <w:r w:rsidR="005C5FA5">
        <w:rPr>
          <w:iCs/>
          <w:sz w:val="22"/>
        </w:rPr>
        <w:t xml:space="preserve">hanya </w:t>
      </w:r>
      <w:r w:rsidR="006B50E8" w:rsidRPr="00040762">
        <w:rPr>
          <w:iCs/>
          <w:sz w:val="22"/>
        </w:rPr>
        <w:t>difokuskan pada perusahaan yang bukan lembaga keuangan yang terdaftar di Bursa Efek Indonesia pada tahun 2013-2014.</w:t>
      </w:r>
    </w:p>
    <w:p w:rsidR="00BF343C" w:rsidRPr="005C5FA5" w:rsidRDefault="005C5FA5" w:rsidP="0098783B">
      <w:pPr>
        <w:spacing w:line="360" w:lineRule="auto"/>
        <w:ind w:left="0" w:firstLine="0"/>
        <w:jc w:val="both"/>
        <w:rPr>
          <w:iCs/>
          <w:sz w:val="22"/>
        </w:rPr>
      </w:pPr>
      <w:r w:rsidRPr="005C5FA5">
        <w:rPr>
          <w:b/>
          <w:iCs/>
          <w:sz w:val="22"/>
        </w:rPr>
        <w:t>2. KAJIAN LITERATUR</w:t>
      </w:r>
      <w:r w:rsidR="00FC553D" w:rsidRPr="005C5FA5">
        <w:rPr>
          <w:b/>
          <w:iCs/>
          <w:sz w:val="22"/>
        </w:rPr>
        <w:t xml:space="preserve"> DAN </w:t>
      </w:r>
      <w:r w:rsidR="00040762" w:rsidRPr="005C5FA5">
        <w:rPr>
          <w:b/>
          <w:iCs/>
          <w:sz w:val="22"/>
        </w:rPr>
        <w:t>PENGEMBANGAN HIPOTESIS</w:t>
      </w:r>
    </w:p>
    <w:p w:rsidR="005C5FA5" w:rsidRPr="005C5FA5" w:rsidRDefault="005C5FA5" w:rsidP="0098783B">
      <w:pPr>
        <w:spacing w:line="360" w:lineRule="auto"/>
        <w:ind w:left="0" w:firstLine="0"/>
        <w:jc w:val="both"/>
        <w:rPr>
          <w:rFonts w:cs="Times New Roman"/>
          <w:i/>
          <w:iCs/>
          <w:sz w:val="22"/>
        </w:rPr>
      </w:pPr>
      <w:r w:rsidRPr="005C5FA5">
        <w:rPr>
          <w:rFonts w:cs="Times New Roman"/>
          <w:i/>
          <w:iCs/>
          <w:sz w:val="22"/>
        </w:rPr>
        <w:t xml:space="preserve">2.1 </w:t>
      </w:r>
      <w:r w:rsidR="00841C38" w:rsidRPr="005C5FA5">
        <w:rPr>
          <w:rFonts w:cs="Times New Roman"/>
          <w:i/>
          <w:iCs/>
          <w:sz w:val="22"/>
        </w:rPr>
        <w:t>Definisi Obligasi</w:t>
      </w:r>
    </w:p>
    <w:p w:rsidR="00841C38" w:rsidRPr="0005522F" w:rsidRDefault="005C5FA5" w:rsidP="0098783B">
      <w:pPr>
        <w:spacing w:line="360" w:lineRule="auto"/>
        <w:ind w:left="0" w:firstLine="0"/>
        <w:jc w:val="both"/>
        <w:rPr>
          <w:rFonts w:cs="Times New Roman"/>
          <w:iCs/>
          <w:sz w:val="22"/>
        </w:rPr>
      </w:pPr>
      <w:r>
        <w:rPr>
          <w:rFonts w:cs="Times New Roman"/>
          <w:b/>
          <w:iCs/>
          <w:sz w:val="22"/>
        </w:rPr>
        <w:tab/>
      </w:r>
      <w:r w:rsidR="00841C38" w:rsidRPr="0005522F">
        <w:rPr>
          <w:rFonts w:cs="Times New Roman"/>
          <w:iCs/>
          <w:sz w:val="22"/>
        </w:rPr>
        <w:t>Menurut Bursa Efek Indonesia, obligasi adalah surat utang jangka menengah panjang yang dapat dipindahtangankan yang berisi janji dari pihak yang menerbitkan untuk membayar imbalan berupa bunga pada periode tertentu dan melunasi pokok utang pada waktu yang telah ditentukan pada pihak pembeli obligasi tersebut. Brigham dan Houston (2012) berpendapat bahwa obligasi (</w:t>
      </w:r>
      <w:r w:rsidR="00841C38" w:rsidRPr="0005522F">
        <w:rPr>
          <w:rFonts w:cs="Times New Roman"/>
          <w:i/>
          <w:iCs/>
          <w:sz w:val="22"/>
        </w:rPr>
        <w:t>bond</w:t>
      </w:r>
      <w:r w:rsidR="00841C38" w:rsidRPr="0005522F">
        <w:rPr>
          <w:rFonts w:cs="Times New Roman"/>
          <w:iCs/>
          <w:sz w:val="22"/>
        </w:rPr>
        <w:t>) adalah suatu kontrak jangka panjang dimana pihak peminjam setuju untuk melakukan pembayaran bunga dan pokok pinjaman pada tanggal tertentu kep</w:t>
      </w:r>
      <w:r w:rsidR="00EC46DE">
        <w:rPr>
          <w:rFonts w:cs="Times New Roman"/>
          <w:iCs/>
          <w:sz w:val="22"/>
        </w:rPr>
        <w:t>ada pemegang obligasi tersebut.</w:t>
      </w:r>
      <w:r>
        <w:rPr>
          <w:rFonts w:cs="Times New Roman"/>
          <w:iCs/>
          <w:sz w:val="22"/>
        </w:rPr>
        <w:t xml:space="preserve"> Sedangkan menurut Keown, dkk (2011</w:t>
      </w:r>
      <w:r w:rsidRPr="005C5FA5">
        <w:rPr>
          <w:rFonts w:eastAsia="Calibri" w:cs="Times New Roman"/>
          <w:iCs/>
          <w:sz w:val="22"/>
        </w:rPr>
        <w:t>) obligasi merupakan suatu jenis hutang atau surat kesanggupan bayar jangka panjang, yang dikeluarkan oleh peminjam, yang berjanji untuk membayar ke pemeganganya dengan jumlah bunga yang tetap setiap tahun.</w:t>
      </w:r>
    </w:p>
    <w:p w:rsidR="005C5FA5" w:rsidRDefault="005C5FA5" w:rsidP="0098783B">
      <w:pPr>
        <w:spacing w:line="360" w:lineRule="auto"/>
        <w:ind w:left="0" w:firstLine="0"/>
        <w:jc w:val="both"/>
        <w:rPr>
          <w:rFonts w:cs="Times New Roman"/>
          <w:i/>
          <w:iCs/>
          <w:sz w:val="22"/>
        </w:rPr>
      </w:pPr>
      <w:r>
        <w:rPr>
          <w:rFonts w:cs="Times New Roman"/>
          <w:i/>
          <w:iCs/>
          <w:sz w:val="22"/>
        </w:rPr>
        <w:t xml:space="preserve">2.2 </w:t>
      </w:r>
      <w:r w:rsidR="00AC089B">
        <w:rPr>
          <w:rFonts w:cs="Times New Roman"/>
          <w:i/>
          <w:iCs/>
          <w:sz w:val="22"/>
        </w:rPr>
        <w:t xml:space="preserve">Definisi </w:t>
      </w:r>
      <w:r w:rsidR="00841C38" w:rsidRPr="005C5FA5">
        <w:rPr>
          <w:rFonts w:cs="Times New Roman"/>
          <w:i/>
          <w:iCs/>
          <w:sz w:val="22"/>
        </w:rPr>
        <w:t>Peringkat Obligasi</w:t>
      </w:r>
    </w:p>
    <w:p w:rsidR="005C5FA5" w:rsidRDefault="005C5FA5" w:rsidP="009E6561">
      <w:pPr>
        <w:spacing w:line="360" w:lineRule="auto"/>
        <w:ind w:left="0" w:firstLine="0"/>
        <w:jc w:val="both"/>
        <w:rPr>
          <w:rFonts w:cs="Times New Roman"/>
          <w:iCs/>
          <w:sz w:val="22"/>
        </w:rPr>
      </w:pPr>
      <w:r>
        <w:rPr>
          <w:rFonts w:cs="Times New Roman"/>
          <w:iCs/>
          <w:sz w:val="22"/>
        </w:rPr>
        <w:tab/>
      </w:r>
      <w:r w:rsidR="000E35EE" w:rsidRPr="0005522F">
        <w:rPr>
          <w:rFonts w:cs="Times New Roman"/>
          <w:iCs/>
          <w:sz w:val="22"/>
        </w:rPr>
        <w:t xml:space="preserve">Peringkat obligasi merupakan sebuah pernyataan tentang keadaan pengutang dan kemungkinan apa yang bisa dan akan dilakukan sehubungan dengan utang yang dimiliki. </w:t>
      </w:r>
      <w:r w:rsidR="00841C38" w:rsidRPr="0005522F">
        <w:rPr>
          <w:rFonts w:cs="Times New Roman"/>
          <w:iCs/>
          <w:sz w:val="22"/>
        </w:rPr>
        <w:t>Peringkat obligasi perusahaan dari lembaga pemeringkat independen memberikan gambaran tentang kemampuan emiten untuk memenuhi kewajiban membayar bunga dan pokok secara tepat wak</w:t>
      </w:r>
      <w:r w:rsidR="009E6561">
        <w:rPr>
          <w:rFonts w:cs="Times New Roman"/>
          <w:iCs/>
          <w:sz w:val="22"/>
        </w:rPr>
        <w:t>tu dan dalam jumlah yang sesuai.</w:t>
      </w:r>
    </w:p>
    <w:p w:rsidR="009E6561" w:rsidRDefault="009E6561" w:rsidP="009E6561">
      <w:pPr>
        <w:spacing w:line="360" w:lineRule="auto"/>
        <w:ind w:left="0" w:firstLine="0"/>
        <w:jc w:val="both"/>
        <w:rPr>
          <w:rFonts w:cs="Times New Roman"/>
          <w:iCs/>
          <w:sz w:val="22"/>
        </w:rPr>
      </w:pPr>
    </w:p>
    <w:p w:rsidR="009E6561" w:rsidRPr="009E6561" w:rsidRDefault="009E6561" w:rsidP="009E6561">
      <w:pPr>
        <w:spacing w:line="360" w:lineRule="auto"/>
        <w:ind w:left="0" w:firstLine="0"/>
        <w:jc w:val="both"/>
        <w:rPr>
          <w:rFonts w:cs="Times New Roman"/>
          <w:iCs/>
          <w:sz w:val="22"/>
        </w:rPr>
      </w:pPr>
    </w:p>
    <w:p w:rsidR="000509AB" w:rsidRDefault="000E35EE" w:rsidP="0098783B">
      <w:pPr>
        <w:spacing w:line="360" w:lineRule="auto"/>
        <w:ind w:left="0" w:firstLine="0"/>
        <w:jc w:val="center"/>
        <w:rPr>
          <w:rFonts w:cs="Times New Roman"/>
          <w:iCs/>
          <w:sz w:val="22"/>
        </w:rPr>
      </w:pPr>
      <w:r w:rsidRPr="000509AB">
        <w:rPr>
          <w:rFonts w:cs="Times New Roman"/>
          <w:iCs/>
          <w:sz w:val="22"/>
        </w:rPr>
        <w:lastRenderedPageBreak/>
        <w:t xml:space="preserve">Tabel </w:t>
      </w:r>
      <w:r w:rsidR="000509AB">
        <w:rPr>
          <w:rFonts w:cs="Times New Roman"/>
          <w:iCs/>
          <w:sz w:val="22"/>
        </w:rPr>
        <w:t>2.1</w:t>
      </w:r>
    </w:p>
    <w:p w:rsidR="000E35EE" w:rsidRPr="0005522F" w:rsidRDefault="000E35EE" w:rsidP="0098783B">
      <w:pPr>
        <w:spacing w:line="360" w:lineRule="auto"/>
        <w:ind w:left="0" w:firstLine="0"/>
        <w:jc w:val="center"/>
        <w:rPr>
          <w:rFonts w:cs="Times New Roman"/>
          <w:iCs/>
          <w:sz w:val="22"/>
        </w:rPr>
      </w:pPr>
      <w:r w:rsidRPr="0005522F">
        <w:rPr>
          <w:rFonts w:cs="Times New Roman"/>
          <w:iCs/>
          <w:sz w:val="22"/>
        </w:rPr>
        <w:t>Definisi Peringkat Obligasi PT Pefindo</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8321"/>
      </w:tblGrid>
      <w:tr w:rsidR="000E35EE" w:rsidRPr="005C5FA5" w:rsidTr="000509AB">
        <w:trPr>
          <w:trHeight w:val="10851"/>
        </w:trPr>
        <w:tc>
          <w:tcPr>
            <w:tcW w:w="758" w:type="dxa"/>
          </w:tcPr>
          <w:p w:rsidR="000E35EE" w:rsidRPr="005C5FA5" w:rsidRDefault="000E35EE" w:rsidP="005C5FA5">
            <w:pPr>
              <w:spacing w:line="360" w:lineRule="auto"/>
              <w:ind w:left="0" w:firstLine="0"/>
              <w:jc w:val="center"/>
              <w:rPr>
                <w:rFonts w:cs="Times New Roman"/>
                <w:iCs/>
                <w:sz w:val="22"/>
              </w:rPr>
            </w:pPr>
            <w:r w:rsidRPr="005C5FA5">
              <w:rPr>
                <w:rFonts w:cs="Times New Roman"/>
                <w:iCs/>
                <w:sz w:val="22"/>
              </w:rPr>
              <w:t>AAA</w:t>
            </w: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r w:rsidRPr="005C5FA5">
              <w:rPr>
                <w:rFonts w:cs="Times New Roman"/>
                <w:iCs/>
                <w:sz w:val="22"/>
              </w:rPr>
              <w:t>AA</w:t>
            </w: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r w:rsidRPr="005C5FA5">
              <w:rPr>
                <w:rFonts w:cs="Times New Roman"/>
                <w:iCs/>
                <w:sz w:val="22"/>
              </w:rPr>
              <w:t>A</w:t>
            </w: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r w:rsidRPr="005C5FA5">
              <w:rPr>
                <w:rFonts w:cs="Times New Roman"/>
                <w:iCs/>
                <w:sz w:val="22"/>
              </w:rPr>
              <w:t>BBB</w:t>
            </w: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r w:rsidRPr="005C5FA5">
              <w:rPr>
                <w:rFonts w:cs="Times New Roman"/>
                <w:iCs/>
                <w:sz w:val="22"/>
              </w:rPr>
              <w:t>BB</w:t>
            </w: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r w:rsidRPr="005C5FA5">
              <w:rPr>
                <w:rFonts w:cs="Times New Roman"/>
                <w:iCs/>
                <w:sz w:val="22"/>
              </w:rPr>
              <w:t>B</w:t>
            </w:r>
          </w:p>
          <w:p w:rsidR="005F1401" w:rsidRPr="005C5FA5" w:rsidRDefault="005F1401" w:rsidP="005C5FA5">
            <w:pPr>
              <w:spacing w:line="360" w:lineRule="auto"/>
              <w:ind w:left="0" w:firstLine="0"/>
              <w:jc w:val="center"/>
              <w:rPr>
                <w:rFonts w:cs="Times New Roman"/>
                <w:iCs/>
                <w:sz w:val="22"/>
              </w:rPr>
            </w:pPr>
          </w:p>
          <w:p w:rsidR="005F1401" w:rsidRDefault="005F1401" w:rsidP="005C5FA5">
            <w:pPr>
              <w:spacing w:line="360" w:lineRule="auto"/>
              <w:ind w:left="0" w:firstLine="0"/>
              <w:jc w:val="center"/>
              <w:rPr>
                <w:rFonts w:cs="Times New Roman"/>
                <w:iCs/>
                <w:sz w:val="22"/>
              </w:rPr>
            </w:pPr>
          </w:p>
          <w:p w:rsidR="005C5FA5" w:rsidRPr="005C5FA5" w:rsidRDefault="005C5FA5" w:rsidP="005C5FA5">
            <w:pPr>
              <w:spacing w:line="360" w:lineRule="auto"/>
              <w:ind w:left="0" w:firstLine="0"/>
              <w:jc w:val="center"/>
              <w:rPr>
                <w:rFonts w:cs="Times New Roman"/>
                <w:iCs/>
                <w:sz w:val="22"/>
              </w:rPr>
            </w:pPr>
          </w:p>
          <w:p w:rsidR="005F1401" w:rsidRPr="005C5FA5" w:rsidRDefault="005F1401" w:rsidP="005C5FA5">
            <w:pPr>
              <w:spacing w:line="360" w:lineRule="auto"/>
              <w:ind w:left="0" w:firstLine="0"/>
              <w:jc w:val="center"/>
              <w:rPr>
                <w:rFonts w:cs="Times New Roman"/>
                <w:iCs/>
                <w:sz w:val="22"/>
              </w:rPr>
            </w:pPr>
            <w:r w:rsidRPr="005C5FA5">
              <w:rPr>
                <w:rFonts w:cs="Times New Roman"/>
                <w:iCs/>
                <w:sz w:val="22"/>
              </w:rPr>
              <w:t>CCC</w:t>
            </w:r>
          </w:p>
          <w:p w:rsidR="005F1401" w:rsidRPr="005C5FA5" w:rsidRDefault="005F1401" w:rsidP="005C5FA5">
            <w:pPr>
              <w:spacing w:line="360" w:lineRule="auto"/>
              <w:ind w:left="0" w:firstLine="0"/>
              <w:jc w:val="center"/>
              <w:rPr>
                <w:rFonts w:cs="Times New Roman"/>
                <w:iCs/>
                <w:sz w:val="22"/>
              </w:rPr>
            </w:pPr>
          </w:p>
          <w:p w:rsidR="005F1401" w:rsidRPr="005C5FA5" w:rsidRDefault="005F1401" w:rsidP="005C5FA5">
            <w:pPr>
              <w:spacing w:line="360" w:lineRule="auto"/>
              <w:ind w:left="0" w:firstLine="0"/>
              <w:jc w:val="center"/>
              <w:rPr>
                <w:rFonts w:cs="Times New Roman"/>
                <w:iCs/>
                <w:sz w:val="22"/>
              </w:rPr>
            </w:pPr>
          </w:p>
          <w:p w:rsidR="005F1401" w:rsidRPr="005C5FA5" w:rsidRDefault="005F1401" w:rsidP="005C5FA5">
            <w:pPr>
              <w:spacing w:line="360" w:lineRule="auto"/>
              <w:ind w:left="0" w:firstLine="0"/>
              <w:jc w:val="center"/>
              <w:rPr>
                <w:rFonts w:cs="Times New Roman"/>
                <w:iCs/>
                <w:sz w:val="22"/>
              </w:rPr>
            </w:pPr>
            <w:r w:rsidRPr="005C5FA5">
              <w:rPr>
                <w:rFonts w:cs="Times New Roman"/>
                <w:iCs/>
                <w:sz w:val="22"/>
              </w:rPr>
              <w:t>D</w:t>
            </w:r>
          </w:p>
        </w:tc>
        <w:tc>
          <w:tcPr>
            <w:tcW w:w="8321" w:type="dxa"/>
          </w:tcPr>
          <w:p w:rsidR="00EC46DE" w:rsidRPr="005C5FA5" w:rsidRDefault="000E35EE" w:rsidP="005C5FA5">
            <w:pPr>
              <w:autoSpaceDE w:val="0"/>
              <w:autoSpaceDN w:val="0"/>
              <w:adjustRightInd w:val="0"/>
              <w:spacing w:line="360" w:lineRule="auto"/>
              <w:ind w:left="0" w:right="0" w:firstLine="0"/>
              <w:jc w:val="both"/>
              <w:rPr>
                <w:rFonts w:cs="Times New Roman"/>
                <w:sz w:val="22"/>
              </w:rPr>
            </w:pPr>
            <w:r w:rsidRPr="005C5FA5">
              <w:rPr>
                <w:rFonts w:cs="Times New Roman"/>
                <w:sz w:val="22"/>
              </w:rPr>
              <w:t>Efek utang dengan peringkat AAA merupakan efek utang peringkat tertinggi dari Pefindo yang didukung oleh kemampuan obligor yang superior relatif dibanding entitas Indonesia lainnya untuk memenuhi 4 kewajiban finansial jangka panjang sesuai dengan yang diperjanjikan.</w:t>
            </w:r>
          </w:p>
          <w:p w:rsidR="000E35EE" w:rsidRPr="005C5FA5" w:rsidRDefault="000E35EE" w:rsidP="005C5FA5">
            <w:pPr>
              <w:autoSpaceDE w:val="0"/>
              <w:autoSpaceDN w:val="0"/>
              <w:adjustRightInd w:val="0"/>
              <w:spacing w:line="360" w:lineRule="auto"/>
              <w:ind w:left="0" w:right="0" w:firstLine="0"/>
              <w:jc w:val="both"/>
              <w:rPr>
                <w:rFonts w:cs="Times New Roman"/>
                <w:sz w:val="22"/>
              </w:rPr>
            </w:pPr>
            <w:r w:rsidRPr="005C5FA5">
              <w:rPr>
                <w:rFonts w:cs="Times New Roman"/>
                <w:sz w:val="22"/>
              </w:rPr>
              <w:t>Efek utang dengan peringkat AA memiliki kualitas kredit sedikit dibawah peringkat tertinggi, didukung oleh kemampuan obligor yang sangat kuat untuk memenuhi kewajiban finansial jangka panjangnya sesuai dengan yang diperjanjikan relatif dibandingkan dengan entitas Indonesia lainnya.</w:t>
            </w:r>
          </w:p>
          <w:p w:rsidR="000E35EE" w:rsidRPr="005C5FA5" w:rsidRDefault="000E35EE" w:rsidP="005C5FA5">
            <w:pPr>
              <w:autoSpaceDE w:val="0"/>
              <w:autoSpaceDN w:val="0"/>
              <w:adjustRightInd w:val="0"/>
              <w:spacing w:line="360" w:lineRule="auto"/>
              <w:ind w:left="0" w:right="0" w:firstLine="0"/>
              <w:jc w:val="both"/>
              <w:rPr>
                <w:rFonts w:cs="Times New Roman"/>
                <w:sz w:val="22"/>
              </w:rPr>
            </w:pPr>
            <w:r w:rsidRPr="005C5FA5">
              <w:rPr>
                <w:rFonts w:cs="Times New Roman"/>
                <w:sz w:val="22"/>
              </w:rPr>
              <w:t>Efek utang dengan peringkat A memiliki dukungan kemampuan Obligor yang kuat dibandingkan dengan entitas Indonesia lainnya untuk mememenuhi kewajiban finansial jangka panjangnya sesuai dengan yang diperjanjikan, namun cukup peka terhadap perubahan yang merugikan.</w:t>
            </w:r>
          </w:p>
          <w:p w:rsidR="000E35EE" w:rsidRPr="005C5FA5" w:rsidRDefault="000E35EE" w:rsidP="005C5FA5">
            <w:pPr>
              <w:autoSpaceDE w:val="0"/>
              <w:autoSpaceDN w:val="0"/>
              <w:adjustRightInd w:val="0"/>
              <w:spacing w:line="360" w:lineRule="auto"/>
              <w:ind w:left="0" w:right="0" w:firstLine="0"/>
              <w:jc w:val="both"/>
              <w:rPr>
                <w:rFonts w:cs="Times New Roman"/>
                <w:sz w:val="22"/>
              </w:rPr>
            </w:pPr>
            <w:r w:rsidRPr="005C5FA5">
              <w:rPr>
                <w:rFonts w:cs="Times New Roman"/>
                <w:sz w:val="22"/>
              </w:rPr>
              <w:t>Efek utang dengan BBB didukung oleh kemampuan Obligor yang memadai relatif dibandingkan dengan entitas Indonesia lainnya untuk memenuhi kewajiban finansial, namun kemampuan tersebut dapat diperlemah oleh keadaan bisnis dan perekonomian yang merugikan.</w:t>
            </w:r>
          </w:p>
          <w:p w:rsidR="000E35EE" w:rsidRPr="005C5FA5" w:rsidRDefault="000E35EE" w:rsidP="005C5FA5">
            <w:pPr>
              <w:autoSpaceDE w:val="0"/>
              <w:autoSpaceDN w:val="0"/>
              <w:adjustRightInd w:val="0"/>
              <w:spacing w:line="360" w:lineRule="auto"/>
              <w:ind w:left="0" w:right="0" w:firstLine="0"/>
              <w:jc w:val="both"/>
              <w:rPr>
                <w:rFonts w:cs="Times New Roman"/>
                <w:sz w:val="22"/>
              </w:rPr>
            </w:pPr>
            <w:r w:rsidRPr="005C5FA5">
              <w:rPr>
                <w:rFonts w:cs="Times New Roman"/>
                <w:sz w:val="22"/>
              </w:rPr>
              <w:t>Efek utang dengan peringkat BB menunjukkan dukungan kemampuan Obligor yang agak lemah relatif dibandingkan dengan entitas lainnya untuk memenuhi kewajiban finansial jangka panjangnya sesuai dengan yang diperjanjikan, serta peka terhadap keadaan bisnis dan perekonomian yang keadaan bisnis dan perekonomian yang tidak menentu.</w:t>
            </w:r>
          </w:p>
          <w:p w:rsidR="000E35EE" w:rsidRPr="005C5FA5" w:rsidRDefault="000E35EE" w:rsidP="005C5FA5">
            <w:pPr>
              <w:autoSpaceDE w:val="0"/>
              <w:autoSpaceDN w:val="0"/>
              <w:adjustRightInd w:val="0"/>
              <w:spacing w:line="360" w:lineRule="auto"/>
              <w:ind w:left="0" w:right="0" w:firstLine="0"/>
              <w:jc w:val="both"/>
              <w:rPr>
                <w:rFonts w:cs="Times New Roman"/>
                <w:sz w:val="22"/>
              </w:rPr>
            </w:pPr>
            <w:r w:rsidRPr="005C5FA5">
              <w:rPr>
                <w:rFonts w:cs="Times New Roman"/>
                <w:sz w:val="22"/>
              </w:rPr>
              <w:t>Efek utang dengan peringkat BB menunjukkan dukungan kemampuan</w:t>
            </w:r>
            <w:r w:rsidR="005F1401" w:rsidRPr="005C5FA5">
              <w:rPr>
                <w:rFonts w:cs="Times New Roman"/>
                <w:sz w:val="22"/>
              </w:rPr>
              <w:t xml:space="preserve"> </w:t>
            </w:r>
            <w:r w:rsidRPr="005C5FA5">
              <w:rPr>
                <w:rFonts w:cs="Times New Roman"/>
                <w:sz w:val="22"/>
              </w:rPr>
              <w:t>Obligor yang agak lemah relatif dibandingkan dengan entitas lainnya</w:t>
            </w:r>
            <w:r w:rsidR="005F1401" w:rsidRPr="005C5FA5">
              <w:rPr>
                <w:rFonts w:cs="Times New Roman"/>
                <w:sz w:val="22"/>
              </w:rPr>
              <w:t xml:space="preserve"> </w:t>
            </w:r>
            <w:r w:rsidRPr="005C5FA5">
              <w:rPr>
                <w:rFonts w:cs="Times New Roman"/>
                <w:sz w:val="22"/>
              </w:rPr>
              <w:t>untuk memenuhi kewajiban finansial jangka panjangnya sesuai dengan</w:t>
            </w:r>
            <w:r w:rsidR="005F1401" w:rsidRPr="005C5FA5">
              <w:rPr>
                <w:rFonts w:cs="Times New Roman"/>
                <w:sz w:val="22"/>
              </w:rPr>
              <w:t xml:space="preserve"> </w:t>
            </w:r>
            <w:r w:rsidRPr="005C5FA5">
              <w:rPr>
                <w:rFonts w:cs="Times New Roman"/>
                <w:sz w:val="22"/>
              </w:rPr>
              <w:t>yang diperjanjikan, serta peka terhadap keadaan bisnis dan</w:t>
            </w:r>
            <w:r w:rsidR="005F1401" w:rsidRPr="005C5FA5">
              <w:rPr>
                <w:rFonts w:cs="Times New Roman"/>
                <w:sz w:val="22"/>
              </w:rPr>
              <w:t xml:space="preserve"> </w:t>
            </w:r>
            <w:r w:rsidRPr="005C5FA5">
              <w:rPr>
                <w:rFonts w:cs="Times New Roman"/>
                <w:sz w:val="22"/>
              </w:rPr>
              <w:t>perekonomian yang keadaan bisnis dan perekonomian yang tidak</w:t>
            </w:r>
            <w:r w:rsidR="005F1401" w:rsidRPr="005C5FA5">
              <w:rPr>
                <w:rFonts w:cs="Times New Roman"/>
                <w:sz w:val="22"/>
              </w:rPr>
              <w:t xml:space="preserve"> </w:t>
            </w:r>
            <w:r w:rsidRPr="005C5FA5">
              <w:rPr>
                <w:rFonts w:cs="Times New Roman"/>
                <w:sz w:val="22"/>
              </w:rPr>
              <w:t>menentu</w:t>
            </w:r>
            <w:r w:rsidR="005F1401" w:rsidRPr="005C5FA5">
              <w:rPr>
                <w:rFonts w:cs="Times New Roman"/>
                <w:sz w:val="22"/>
              </w:rPr>
              <w:t>.</w:t>
            </w:r>
          </w:p>
          <w:p w:rsidR="005F1401" w:rsidRPr="005C5FA5" w:rsidRDefault="005F1401" w:rsidP="005C5FA5">
            <w:pPr>
              <w:autoSpaceDE w:val="0"/>
              <w:autoSpaceDN w:val="0"/>
              <w:adjustRightInd w:val="0"/>
              <w:spacing w:line="360" w:lineRule="auto"/>
              <w:ind w:left="0" w:right="0" w:firstLine="0"/>
              <w:jc w:val="both"/>
              <w:rPr>
                <w:rFonts w:cs="Times New Roman"/>
                <w:sz w:val="22"/>
              </w:rPr>
            </w:pPr>
            <w:r w:rsidRPr="005C5FA5">
              <w:rPr>
                <w:rFonts w:cs="Times New Roman"/>
                <w:sz w:val="22"/>
              </w:rPr>
              <w:t>Efek utang dengan peringkat CCC menunjukkan efek utang yang tidak mampu lagi memenuhi kewajiban finansialnya, serta hanya tergantung kepada perbaikan keadaan eksternal.</w:t>
            </w:r>
          </w:p>
          <w:p w:rsidR="005F1401" w:rsidRPr="005C5FA5" w:rsidRDefault="005F1401" w:rsidP="005C5FA5">
            <w:pPr>
              <w:autoSpaceDE w:val="0"/>
              <w:autoSpaceDN w:val="0"/>
              <w:adjustRightInd w:val="0"/>
              <w:spacing w:line="360" w:lineRule="auto"/>
              <w:ind w:left="0" w:right="0" w:firstLine="0"/>
              <w:jc w:val="both"/>
              <w:rPr>
                <w:rFonts w:cs="Times New Roman"/>
                <w:sz w:val="22"/>
              </w:rPr>
            </w:pPr>
            <w:r w:rsidRPr="005C5FA5">
              <w:rPr>
                <w:rFonts w:cs="Times New Roman"/>
                <w:sz w:val="22"/>
              </w:rPr>
              <w:t>Efek utang dengan peringkat D menandakan efek utang yang macet. Perusahaan penerbit sudah berhenti berusaha.</w:t>
            </w:r>
          </w:p>
        </w:tc>
      </w:tr>
    </w:tbl>
    <w:p w:rsidR="000E35EE" w:rsidRPr="005C5FA5" w:rsidRDefault="005F1401" w:rsidP="005C5FA5">
      <w:pPr>
        <w:spacing w:line="360" w:lineRule="auto"/>
        <w:ind w:left="0" w:firstLine="0"/>
        <w:rPr>
          <w:rFonts w:cs="Times New Roman"/>
          <w:i/>
          <w:iCs/>
          <w:sz w:val="22"/>
        </w:rPr>
      </w:pPr>
      <w:r w:rsidRPr="005C5FA5">
        <w:rPr>
          <w:rFonts w:cs="Times New Roman"/>
          <w:i/>
          <w:iCs/>
          <w:sz w:val="22"/>
        </w:rPr>
        <w:t xml:space="preserve">Sumber: </w:t>
      </w:r>
      <w:hyperlink r:id="rId11" w:history="1">
        <w:r w:rsidR="00065B3B" w:rsidRPr="005C5FA5">
          <w:rPr>
            <w:rStyle w:val="Hyperlink"/>
            <w:rFonts w:cs="Times New Roman"/>
            <w:i/>
            <w:iCs/>
            <w:sz w:val="22"/>
          </w:rPr>
          <w:t>www.pefindo.com</w:t>
        </w:r>
      </w:hyperlink>
    </w:p>
    <w:p w:rsidR="00065B3B" w:rsidRDefault="005C5FA5" w:rsidP="0098783B">
      <w:pPr>
        <w:spacing w:line="360" w:lineRule="auto"/>
        <w:ind w:left="0" w:firstLine="0"/>
        <w:rPr>
          <w:rFonts w:cs="Times New Roman"/>
          <w:i/>
          <w:iCs/>
          <w:sz w:val="22"/>
        </w:rPr>
      </w:pPr>
      <w:r>
        <w:rPr>
          <w:rFonts w:cs="Times New Roman"/>
          <w:i/>
          <w:iCs/>
          <w:sz w:val="22"/>
        </w:rPr>
        <w:t xml:space="preserve">2.3 </w:t>
      </w:r>
      <w:r w:rsidR="00065B3B" w:rsidRPr="005C5FA5">
        <w:rPr>
          <w:rFonts w:cs="Times New Roman"/>
          <w:i/>
          <w:iCs/>
          <w:sz w:val="22"/>
        </w:rPr>
        <w:t>Penelitian Terdahulu dan Pengembangan Hipotesis</w:t>
      </w:r>
    </w:p>
    <w:p w:rsidR="00FC6A51" w:rsidRDefault="00C20301" w:rsidP="00FC6A51">
      <w:pPr>
        <w:spacing w:line="360" w:lineRule="auto"/>
        <w:ind w:left="0" w:firstLine="0"/>
        <w:rPr>
          <w:rFonts w:cs="Times New Roman"/>
          <w:iCs/>
          <w:sz w:val="22"/>
        </w:rPr>
      </w:pPr>
      <w:r>
        <w:rPr>
          <w:rFonts w:cs="Times New Roman"/>
          <w:i/>
          <w:iCs/>
          <w:sz w:val="22"/>
        </w:rPr>
        <w:t>2.3.1 Penelitian Terdahulu</w:t>
      </w:r>
    </w:p>
    <w:p w:rsidR="00FC6A51" w:rsidRPr="00FC6A51" w:rsidRDefault="00FC6A51" w:rsidP="00FC6A51">
      <w:pPr>
        <w:autoSpaceDE w:val="0"/>
        <w:autoSpaceDN w:val="0"/>
        <w:adjustRightInd w:val="0"/>
        <w:spacing w:line="360" w:lineRule="auto"/>
        <w:ind w:left="0" w:firstLine="0"/>
        <w:jc w:val="both"/>
        <w:rPr>
          <w:rFonts w:eastAsia="Calibri" w:cs="Times New Roman"/>
          <w:sz w:val="22"/>
        </w:rPr>
      </w:pPr>
      <w:r w:rsidRPr="00FC6A51">
        <w:rPr>
          <w:rFonts w:cs="Times New Roman"/>
          <w:iCs/>
          <w:sz w:val="22"/>
        </w:rPr>
        <w:tab/>
      </w:r>
      <w:r>
        <w:rPr>
          <w:rFonts w:cs="Times New Roman"/>
          <w:iCs/>
          <w:sz w:val="22"/>
        </w:rPr>
        <w:t xml:space="preserve">Hasil penelitian </w:t>
      </w:r>
      <w:r w:rsidRPr="00FC6A51">
        <w:rPr>
          <w:rFonts w:eastAsia="Calibri" w:cs="Times New Roman"/>
          <w:sz w:val="22"/>
        </w:rPr>
        <w:t xml:space="preserve">Sejati (2010) </w:t>
      </w:r>
      <w:r>
        <w:rPr>
          <w:rFonts w:eastAsia="Calibri" w:cs="Times New Roman"/>
          <w:sz w:val="22"/>
        </w:rPr>
        <w:t xml:space="preserve">menunjukkan bahwa </w:t>
      </w:r>
      <w:r w:rsidRPr="00FC6A51">
        <w:rPr>
          <w:rFonts w:eastAsia="Calibri" w:cs="Times New Roman"/>
          <w:bCs/>
          <w:i/>
          <w:sz w:val="22"/>
        </w:rPr>
        <w:t>growth</w:t>
      </w:r>
      <w:r w:rsidRPr="00FC6A51">
        <w:rPr>
          <w:rFonts w:eastAsia="Calibri" w:cs="Times New Roman"/>
          <w:bCs/>
          <w:sz w:val="22"/>
        </w:rPr>
        <w:t xml:space="preserve"> mempengaruhi prediksi peringkat obligasi.</w:t>
      </w:r>
      <w:r>
        <w:rPr>
          <w:rFonts w:eastAsia="Calibri" w:cs="Times New Roman"/>
          <w:sz w:val="22"/>
        </w:rPr>
        <w:t xml:space="preserve"> </w:t>
      </w:r>
      <w:r w:rsidRPr="00FC6A51">
        <w:rPr>
          <w:rFonts w:eastAsia="Calibri" w:cs="Times New Roman"/>
          <w:sz w:val="22"/>
        </w:rPr>
        <w:t xml:space="preserve">Maharti (2011), menghasilkan bahwa variabel </w:t>
      </w:r>
      <w:r w:rsidRPr="00FC6A51">
        <w:rPr>
          <w:rFonts w:eastAsia="Calibri" w:cs="Times New Roman"/>
          <w:i/>
          <w:sz w:val="22"/>
        </w:rPr>
        <w:t>leverage</w:t>
      </w:r>
      <w:r w:rsidRPr="00FC6A51">
        <w:rPr>
          <w:rFonts w:eastAsia="Calibri" w:cs="Times New Roman"/>
          <w:sz w:val="22"/>
        </w:rPr>
        <w:t xml:space="preserve"> berpengaruh signifikan terhadaap peringkat obligasi.</w:t>
      </w:r>
      <w:r>
        <w:rPr>
          <w:rFonts w:eastAsia="Calibri" w:cs="Times New Roman"/>
          <w:sz w:val="22"/>
        </w:rPr>
        <w:t xml:space="preserve"> </w:t>
      </w:r>
      <w:r w:rsidRPr="00FC6A51">
        <w:rPr>
          <w:rFonts w:eastAsia="Calibri" w:cs="Times New Roman"/>
          <w:sz w:val="22"/>
        </w:rPr>
        <w:t xml:space="preserve">Yulianingsih (2011), </w:t>
      </w:r>
      <w:r w:rsidRPr="00FC6A51">
        <w:rPr>
          <w:rFonts w:eastAsia="Calibri" w:cs="Times New Roman"/>
          <w:bCs/>
          <w:sz w:val="22"/>
        </w:rPr>
        <w:t xml:space="preserve">menyatakan bahwa </w:t>
      </w:r>
      <w:r w:rsidRPr="00FC6A51">
        <w:rPr>
          <w:rFonts w:eastAsia="Calibri" w:cs="Times New Roman"/>
          <w:sz w:val="22"/>
        </w:rPr>
        <w:t xml:space="preserve">profitabilitas, </w:t>
      </w:r>
      <w:r w:rsidRPr="00FC6A51">
        <w:rPr>
          <w:rFonts w:eastAsia="Calibri" w:cs="Times New Roman"/>
          <w:i/>
          <w:sz w:val="22"/>
        </w:rPr>
        <w:t>size</w:t>
      </w:r>
      <w:r w:rsidRPr="00FC6A51">
        <w:rPr>
          <w:rFonts w:eastAsia="Calibri" w:cs="Times New Roman"/>
          <w:sz w:val="22"/>
        </w:rPr>
        <w:t xml:space="preserve"> perusahaan, produktivitas dan umur obligasi berpengaruh dalam memprediksi peringkat obligasi.</w:t>
      </w:r>
      <w:r>
        <w:rPr>
          <w:rFonts w:eastAsia="Calibri" w:cs="Times New Roman"/>
          <w:sz w:val="22"/>
        </w:rPr>
        <w:t xml:space="preserve"> </w:t>
      </w:r>
      <w:r w:rsidRPr="00FC6A51">
        <w:rPr>
          <w:rFonts w:eastAsia="Calibri" w:cs="Times New Roman"/>
          <w:sz w:val="22"/>
        </w:rPr>
        <w:t xml:space="preserve">Estiyanti &amp; Yasa (2012), </w:t>
      </w:r>
      <w:r>
        <w:rPr>
          <w:rFonts w:eastAsia="Calibri" w:cs="Times New Roman"/>
          <w:sz w:val="22"/>
        </w:rPr>
        <w:t>h</w:t>
      </w:r>
      <w:r w:rsidRPr="00FC6A51">
        <w:rPr>
          <w:rFonts w:eastAsia="Calibri" w:cs="Times New Roman"/>
          <w:iCs/>
          <w:sz w:val="22"/>
        </w:rPr>
        <w:t>asil penelitian menunjukkan bahwa laba ditahan berpengaruh signifikan terhadap prediksi peringkat obligasi.</w:t>
      </w:r>
      <w:r>
        <w:rPr>
          <w:rFonts w:eastAsia="Calibri" w:cs="Times New Roman"/>
          <w:sz w:val="22"/>
        </w:rPr>
        <w:t xml:space="preserve"> </w:t>
      </w:r>
      <w:r w:rsidRPr="00FC6A51">
        <w:rPr>
          <w:rFonts w:eastAsia="Calibri" w:cs="Times New Roman"/>
          <w:sz w:val="22"/>
        </w:rPr>
        <w:t xml:space="preserve">Lukman &amp; Thamida (2013), </w:t>
      </w:r>
      <w:r>
        <w:rPr>
          <w:rFonts w:eastAsia="Calibri" w:cs="Times New Roman"/>
          <w:sz w:val="22"/>
        </w:rPr>
        <w:t>h</w:t>
      </w:r>
      <w:r w:rsidRPr="00FC6A51">
        <w:rPr>
          <w:rFonts w:eastAsia="Calibri" w:cs="Times New Roman"/>
          <w:bCs/>
          <w:sz w:val="22"/>
        </w:rPr>
        <w:t xml:space="preserve">asil penelitian menyatakan </w:t>
      </w:r>
      <w:r w:rsidRPr="00FC6A51">
        <w:rPr>
          <w:rFonts w:eastAsia="Calibri" w:cs="Times New Roman"/>
          <w:sz w:val="22"/>
        </w:rPr>
        <w:t>kapitalisasi dan reputasi auditor signifikan mempengaruhi peringkat obligasi industri perbankan.</w:t>
      </w:r>
      <w:r>
        <w:rPr>
          <w:rFonts w:eastAsia="Calibri" w:cs="Times New Roman"/>
          <w:sz w:val="22"/>
        </w:rPr>
        <w:t xml:space="preserve"> </w:t>
      </w:r>
      <w:r w:rsidRPr="00FC6A51">
        <w:rPr>
          <w:rFonts w:eastAsia="Calibri" w:cs="Times New Roman"/>
          <w:color w:val="000000"/>
          <w:sz w:val="22"/>
        </w:rPr>
        <w:t xml:space="preserve">Cahyonowati &amp; Mahfudhoh (2014), </w:t>
      </w:r>
      <w:r>
        <w:rPr>
          <w:rFonts w:eastAsia="Calibri" w:cs="Times New Roman"/>
          <w:color w:val="000000"/>
          <w:sz w:val="22"/>
        </w:rPr>
        <w:t>p</w:t>
      </w:r>
      <w:r w:rsidRPr="00FC6A51">
        <w:rPr>
          <w:rFonts w:eastAsia="Calibri" w:cs="Times New Roman"/>
          <w:color w:val="000000"/>
          <w:sz w:val="22"/>
        </w:rPr>
        <w:t>enelitian ini menyatakan ukuran perusahaan (</w:t>
      </w:r>
      <w:r w:rsidRPr="00FC6A51">
        <w:rPr>
          <w:rFonts w:eastAsia="Calibri" w:cs="Times New Roman"/>
          <w:i/>
          <w:iCs/>
          <w:color w:val="000000"/>
          <w:sz w:val="22"/>
        </w:rPr>
        <w:t>firm size</w:t>
      </w:r>
      <w:r w:rsidRPr="00FC6A51">
        <w:rPr>
          <w:rFonts w:eastAsia="Calibri" w:cs="Times New Roman"/>
          <w:color w:val="000000"/>
          <w:sz w:val="22"/>
        </w:rPr>
        <w:t>) dan laba ditahan (</w:t>
      </w:r>
      <w:r w:rsidRPr="00FC6A51">
        <w:rPr>
          <w:rFonts w:eastAsia="Calibri" w:cs="Times New Roman"/>
          <w:i/>
          <w:iCs/>
          <w:color w:val="000000"/>
          <w:sz w:val="22"/>
        </w:rPr>
        <w:t xml:space="preserve">retained earning) </w:t>
      </w:r>
      <w:r w:rsidRPr="00FC6A51">
        <w:rPr>
          <w:rFonts w:eastAsia="Calibri" w:cs="Times New Roman"/>
          <w:color w:val="000000"/>
          <w:sz w:val="22"/>
        </w:rPr>
        <w:t>berpengaruh positif dalam memprediksi peringkat obligasi.</w:t>
      </w:r>
      <w:r>
        <w:rPr>
          <w:rFonts w:eastAsia="Calibri" w:cs="Times New Roman"/>
          <w:sz w:val="22"/>
        </w:rPr>
        <w:t xml:space="preserve"> </w:t>
      </w:r>
      <w:r w:rsidRPr="00FC6A51">
        <w:rPr>
          <w:rFonts w:eastAsia="Calibri" w:cs="Times New Roman"/>
          <w:sz w:val="22"/>
        </w:rPr>
        <w:t xml:space="preserve">Fauziah (2014), </w:t>
      </w:r>
      <w:r w:rsidRPr="00FC6A51">
        <w:rPr>
          <w:rFonts w:eastAsia="Calibri" w:cs="Times New Roman"/>
          <w:bCs/>
          <w:sz w:val="22"/>
        </w:rPr>
        <w:t xml:space="preserve">menunjukkan hasil bahwa </w:t>
      </w:r>
      <w:r w:rsidRPr="00FC6A51">
        <w:rPr>
          <w:rFonts w:eastAsia="Calibri" w:cs="Times New Roman"/>
          <w:i/>
          <w:sz w:val="22"/>
        </w:rPr>
        <w:t>leverage</w:t>
      </w:r>
      <w:r w:rsidRPr="00FC6A51">
        <w:rPr>
          <w:rFonts w:eastAsia="Calibri" w:cs="Times New Roman"/>
          <w:sz w:val="22"/>
        </w:rPr>
        <w:t xml:space="preserve"> berpengaruh signifikan positif terhadap prediksi peringkat obligasi pada obligasi.</w:t>
      </w:r>
    </w:p>
    <w:p w:rsidR="00C20301" w:rsidRPr="005C5FA5" w:rsidRDefault="00C20301" w:rsidP="0098783B">
      <w:pPr>
        <w:spacing w:line="360" w:lineRule="auto"/>
        <w:ind w:left="0" w:firstLine="0"/>
        <w:rPr>
          <w:rFonts w:cs="Times New Roman"/>
          <w:i/>
          <w:iCs/>
          <w:sz w:val="22"/>
        </w:rPr>
      </w:pPr>
      <w:r>
        <w:rPr>
          <w:rFonts w:cs="Times New Roman"/>
          <w:i/>
          <w:iCs/>
          <w:sz w:val="22"/>
        </w:rPr>
        <w:t>2.3.2 Pengembangan Hipotesis</w:t>
      </w:r>
    </w:p>
    <w:p w:rsidR="000509AB" w:rsidRPr="00984823" w:rsidRDefault="000509AB" w:rsidP="00984823">
      <w:pPr>
        <w:pStyle w:val="ListParagraph"/>
        <w:numPr>
          <w:ilvl w:val="0"/>
          <w:numId w:val="12"/>
        </w:numPr>
        <w:spacing w:line="360" w:lineRule="auto"/>
        <w:ind w:left="426" w:hanging="426"/>
        <w:jc w:val="both"/>
        <w:rPr>
          <w:rFonts w:cs="Times New Roman"/>
          <w:iCs/>
          <w:sz w:val="22"/>
        </w:rPr>
      </w:pPr>
      <w:r w:rsidRPr="00984823">
        <w:rPr>
          <w:rFonts w:cs="Times New Roman"/>
          <w:i/>
          <w:iCs/>
          <w:sz w:val="22"/>
        </w:rPr>
        <w:t>Rasio Likuiditas</w:t>
      </w:r>
    </w:p>
    <w:p w:rsidR="00F851B7" w:rsidRPr="000509AB" w:rsidRDefault="000509AB" w:rsidP="0098783B">
      <w:pPr>
        <w:spacing w:line="360" w:lineRule="auto"/>
        <w:ind w:left="0" w:firstLine="0"/>
        <w:jc w:val="both"/>
        <w:rPr>
          <w:rFonts w:cs="Times New Roman"/>
          <w:iCs/>
          <w:sz w:val="22"/>
        </w:rPr>
      </w:pPr>
      <w:r>
        <w:rPr>
          <w:rFonts w:cs="Times New Roman"/>
          <w:iCs/>
          <w:sz w:val="22"/>
        </w:rPr>
        <w:tab/>
        <w:t>Menurut Brigham &amp; Houston (</w:t>
      </w:r>
      <w:r w:rsidRPr="000509AB">
        <w:rPr>
          <w:rFonts w:cs="Times New Roman"/>
          <w:iCs/>
          <w:sz w:val="22"/>
        </w:rPr>
        <w:t>2012</w:t>
      </w:r>
      <w:r>
        <w:rPr>
          <w:rFonts w:cs="Times New Roman"/>
          <w:iCs/>
          <w:sz w:val="22"/>
        </w:rPr>
        <w:t xml:space="preserve">) </w:t>
      </w:r>
      <w:r>
        <w:rPr>
          <w:rFonts w:cs="Times New Roman"/>
          <w:sz w:val="22"/>
        </w:rPr>
        <w:t>r</w:t>
      </w:r>
      <w:r w:rsidR="005F1401" w:rsidRPr="0005522F">
        <w:rPr>
          <w:rFonts w:cs="Times New Roman"/>
          <w:sz w:val="22"/>
        </w:rPr>
        <w:t>asio likuiditas merupakan rasio yang menunjuk</w:t>
      </w:r>
      <w:r w:rsidR="00FC553D">
        <w:rPr>
          <w:rFonts w:cs="Times New Roman"/>
          <w:sz w:val="22"/>
        </w:rPr>
        <w:t>k</w:t>
      </w:r>
      <w:r w:rsidR="005F1401" w:rsidRPr="0005522F">
        <w:rPr>
          <w:rFonts w:cs="Times New Roman"/>
          <w:sz w:val="22"/>
        </w:rPr>
        <w:t>an hubungan antara kas dan aset lancar perusahaan lainnya dengan kewajiban lancarn</w:t>
      </w:r>
      <w:r w:rsidR="00984823">
        <w:rPr>
          <w:rFonts w:cs="Times New Roman"/>
          <w:sz w:val="22"/>
        </w:rPr>
        <w:t>ya</w:t>
      </w:r>
      <w:r w:rsidR="005F1401" w:rsidRPr="0005522F">
        <w:rPr>
          <w:rFonts w:cs="Times New Roman"/>
          <w:sz w:val="22"/>
        </w:rPr>
        <w:t>. Rasio ini bertujuan untuk mengukur kemampuan perusahaan untuk membayar kewajiban yang jatuh tempo dalam jangka pendek dengan kas yang dapat ditagih segera.</w:t>
      </w:r>
      <w:r w:rsidR="00984823">
        <w:rPr>
          <w:rFonts w:cs="Times New Roman"/>
          <w:sz w:val="22"/>
        </w:rPr>
        <w:t xml:space="preserve"> Zubir (2012) berpendapat m</w:t>
      </w:r>
      <w:r w:rsidR="00984823" w:rsidRPr="00984823">
        <w:rPr>
          <w:rFonts w:eastAsia="Calibri" w:cs="Times New Roman"/>
          <w:sz w:val="22"/>
        </w:rPr>
        <w:t>akin liquid perusahaan yang mengeluarkan obligasi tersebut, makin kecil risi</w:t>
      </w:r>
      <w:r w:rsidR="00984823">
        <w:rPr>
          <w:rFonts w:cs="Times New Roman"/>
          <w:sz w:val="22"/>
        </w:rPr>
        <w:t>ko gagal bayarnya.</w:t>
      </w:r>
    </w:p>
    <w:p w:rsidR="00984823" w:rsidRPr="00C201F2" w:rsidRDefault="005F1401" w:rsidP="00984823">
      <w:pPr>
        <w:spacing w:line="360" w:lineRule="auto"/>
        <w:ind w:left="0" w:right="0" w:firstLine="0"/>
        <w:jc w:val="both"/>
        <w:rPr>
          <w:rFonts w:eastAsia="Calibri" w:cs="Times New Roman"/>
          <w:sz w:val="22"/>
        </w:rPr>
      </w:pPr>
      <w:r w:rsidRPr="00C201F2">
        <w:rPr>
          <w:rFonts w:eastAsia="Calibri" w:cs="Times New Roman"/>
          <w:sz w:val="22"/>
        </w:rPr>
        <w:t>H</w:t>
      </w:r>
      <w:r w:rsidRPr="00C201F2">
        <w:rPr>
          <w:rFonts w:eastAsia="Calibri" w:cs="Times New Roman"/>
          <w:sz w:val="22"/>
          <w:vertAlign w:val="subscript"/>
        </w:rPr>
        <w:t>1</w:t>
      </w:r>
      <w:r w:rsidRPr="00C201F2">
        <w:rPr>
          <w:rFonts w:eastAsia="Calibri" w:cs="Times New Roman"/>
          <w:sz w:val="22"/>
        </w:rPr>
        <w:t xml:space="preserve"> : Likuiditas berpengaruh positif terhadap peringkat obligasi</w:t>
      </w:r>
    </w:p>
    <w:p w:rsidR="00984823" w:rsidRPr="00984823" w:rsidRDefault="00984823" w:rsidP="00984823">
      <w:pPr>
        <w:pStyle w:val="ListParagraph"/>
        <w:numPr>
          <w:ilvl w:val="0"/>
          <w:numId w:val="12"/>
        </w:numPr>
        <w:spacing w:line="360" w:lineRule="auto"/>
        <w:ind w:left="426" w:right="0" w:hanging="426"/>
        <w:jc w:val="both"/>
        <w:rPr>
          <w:rFonts w:eastAsia="Calibri" w:cs="Times New Roman"/>
          <w:b/>
          <w:sz w:val="22"/>
        </w:rPr>
      </w:pPr>
      <w:r>
        <w:rPr>
          <w:rFonts w:eastAsia="Calibri" w:cs="Times New Roman"/>
          <w:i/>
          <w:sz w:val="22"/>
        </w:rPr>
        <w:t>Rasio Leverage</w:t>
      </w:r>
    </w:p>
    <w:p w:rsidR="005F1401" w:rsidRPr="0005522F" w:rsidRDefault="005F1401" w:rsidP="0098783B">
      <w:pPr>
        <w:spacing w:line="360" w:lineRule="auto"/>
        <w:ind w:left="0" w:firstLine="0"/>
        <w:jc w:val="both"/>
        <w:rPr>
          <w:rFonts w:cs="Times New Roman"/>
          <w:sz w:val="22"/>
        </w:rPr>
      </w:pPr>
      <w:r w:rsidRPr="0005522F">
        <w:rPr>
          <w:rFonts w:cs="Times New Roman"/>
          <w:sz w:val="22"/>
        </w:rPr>
        <w:tab/>
      </w:r>
      <w:r w:rsidR="00984823">
        <w:rPr>
          <w:rFonts w:eastAsia="Times New Roman" w:cs="Times New Roman"/>
          <w:sz w:val="22"/>
        </w:rPr>
        <w:t>Menurut Fahmi (2015)</w:t>
      </w:r>
      <w:r w:rsidR="00DE6621" w:rsidRPr="0005522F">
        <w:rPr>
          <w:rFonts w:eastAsia="Times New Roman" w:cs="Times New Roman"/>
          <w:sz w:val="22"/>
        </w:rPr>
        <w:t xml:space="preserve"> </w:t>
      </w:r>
      <w:r w:rsidR="00DE6621" w:rsidRPr="0005522F">
        <w:rPr>
          <w:rFonts w:cs="Times New Roman"/>
          <w:sz w:val="22"/>
        </w:rPr>
        <w:t xml:space="preserve">rasio </w:t>
      </w:r>
      <w:r w:rsidR="00DE6621" w:rsidRPr="0005522F">
        <w:rPr>
          <w:rFonts w:cs="Times New Roman"/>
          <w:i/>
          <w:iCs/>
          <w:sz w:val="22"/>
        </w:rPr>
        <w:t xml:space="preserve">leverage </w:t>
      </w:r>
      <w:r w:rsidR="00DE6621" w:rsidRPr="0005522F">
        <w:rPr>
          <w:rFonts w:cs="Times New Roman"/>
          <w:sz w:val="22"/>
        </w:rPr>
        <w:t>adalah mengukur seberapa besar perusahaan dibiayai dengan utang.</w:t>
      </w:r>
      <w:r w:rsidR="00984823">
        <w:rPr>
          <w:rFonts w:cs="Times New Roman"/>
          <w:sz w:val="22"/>
        </w:rPr>
        <w:t xml:space="preserve"> </w:t>
      </w:r>
      <w:r w:rsidR="00984823" w:rsidRPr="00984823">
        <w:rPr>
          <w:rFonts w:eastAsia="Calibri" w:cs="Times New Roman"/>
          <w:sz w:val="22"/>
        </w:rPr>
        <w:t>Jika rasio ini cukup tinggi, maka hal tersebut menunjukkan tingginya penggunaan utang, sehingga hal ini dapat membuat perusahaan mengalami kesulitan keuangan, dan biasanya memiliki risiko kebangkrutan yang cukup besar.</w:t>
      </w:r>
    </w:p>
    <w:p w:rsidR="00F851B7" w:rsidRPr="00C201F2" w:rsidRDefault="00F851B7" w:rsidP="0098783B">
      <w:pPr>
        <w:spacing w:line="360" w:lineRule="auto"/>
        <w:ind w:left="0" w:right="0" w:firstLine="0"/>
        <w:jc w:val="both"/>
        <w:rPr>
          <w:rFonts w:eastAsia="Calibri" w:cs="Times New Roman"/>
          <w:sz w:val="22"/>
        </w:rPr>
      </w:pPr>
      <w:r w:rsidRPr="00C201F2">
        <w:rPr>
          <w:rFonts w:eastAsia="Calibri" w:cs="Times New Roman"/>
          <w:sz w:val="22"/>
        </w:rPr>
        <w:t>H</w:t>
      </w:r>
      <w:r w:rsidRPr="00C201F2">
        <w:rPr>
          <w:rFonts w:eastAsia="Calibri" w:cs="Times New Roman"/>
          <w:sz w:val="22"/>
          <w:vertAlign w:val="subscript"/>
        </w:rPr>
        <w:t>2</w:t>
      </w:r>
      <w:r w:rsidRPr="00C201F2">
        <w:rPr>
          <w:rFonts w:eastAsia="Calibri" w:cs="Times New Roman"/>
          <w:sz w:val="22"/>
        </w:rPr>
        <w:t xml:space="preserve"> : </w:t>
      </w:r>
      <w:r w:rsidRPr="00C201F2">
        <w:rPr>
          <w:rFonts w:eastAsia="Calibri" w:cs="Times New Roman"/>
          <w:i/>
          <w:sz w:val="22"/>
        </w:rPr>
        <w:t xml:space="preserve">Leverage </w:t>
      </w:r>
      <w:r w:rsidRPr="00C201F2">
        <w:rPr>
          <w:rFonts w:eastAsia="Calibri" w:cs="Times New Roman"/>
          <w:sz w:val="22"/>
        </w:rPr>
        <w:t>berpengaruh negatif terhadap peringkat obligasi</w:t>
      </w:r>
    </w:p>
    <w:p w:rsidR="00984823" w:rsidRPr="00984823" w:rsidRDefault="00984823" w:rsidP="00984823">
      <w:pPr>
        <w:pStyle w:val="ListParagraph"/>
        <w:numPr>
          <w:ilvl w:val="0"/>
          <w:numId w:val="12"/>
        </w:numPr>
        <w:spacing w:line="360" w:lineRule="auto"/>
        <w:ind w:left="426" w:right="0" w:hanging="426"/>
        <w:jc w:val="both"/>
        <w:rPr>
          <w:rFonts w:eastAsia="Calibri" w:cs="Times New Roman"/>
          <w:sz w:val="22"/>
        </w:rPr>
      </w:pPr>
      <w:r>
        <w:rPr>
          <w:rFonts w:eastAsia="Calibri" w:cs="Times New Roman"/>
          <w:i/>
          <w:sz w:val="22"/>
        </w:rPr>
        <w:t>Rasio Coverage</w:t>
      </w:r>
    </w:p>
    <w:p w:rsidR="00DE6621" w:rsidRPr="0005522F" w:rsidRDefault="00DE6621" w:rsidP="0098783B">
      <w:pPr>
        <w:spacing w:line="360" w:lineRule="auto"/>
        <w:ind w:left="0" w:firstLine="0"/>
        <w:jc w:val="both"/>
        <w:rPr>
          <w:rFonts w:cs="Times New Roman"/>
          <w:sz w:val="22"/>
        </w:rPr>
      </w:pPr>
      <w:r w:rsidRPr="0005522F">
        <w:rPr>
          <w:rFonts w:cs="Times New Roman"/>
          <w:b/>
          <w:sz w:val="22"/>
        </w:rPr>
        <w:tab/>
      </w:r>
      <w:r w:rsidRPr="0005522F">
        <w:rPr>
          <w:rFonts w:cs="Times New Roman"/>
          <w:i/>
          <w:sz w:val="22"/>
        </w:rPr>
        <w:t xml:space="preserve">Coverage ratio </w:t>
      </w:r>
      <w:r w:rsidRPr="0005522F">
        <w:rPr>
          <w:rFonts w:cs="Times New Roman"/>
          <w:sz w:val="22"/>
        </w:rPr>
        <w:t xml:space="preserve">yaitu perbandingan laba operasi perusahaan terhadap biaya tetap. </w:t>
      </w:r>
      <w:r w:rsidR="003C3E81">
        <w:rPr>
          <w:rFonts w:cs="Times New Roman"/>
          <w:sz w:val="22"/>
        </w:rPr>
        <w:t xml:space="preserve">Menurut Zubir (2012) </w:t>
      </w:r>
      <w:r w:rsidR="003C3E81">
        <w:rPr>
          <w:rFonts w:cs="Times New Roman"/>
          <w:i/>
          <w:sz w:val="22"/>
        </w:rPr>
        <w:t>c</w:t>
      </w:r>
      <w:r w:rsidRPr="0005522F">
        <w:rPr>
          <w:rFonts w:cs="Times New Roman"/>
          <w:i/>
          <w:sz w:val="22"/>
        </w:rPr>
        <w:t>overage ratio</w:t>
      </w:r>
      <w:r w:rsidRPr="0005522F">
        <w:rPr>
          <w:rFonts w:cs="Times New Roman"/>
          <w:sz w:val="22"/>
        </w:rPr>
        <w:t xml:space="preserve"> yang rendah merupakan pertanda perusahaan mengalami kesulitan arus kas dan makin besar risiko perusahaan tidak mampu membayar utangnya.</w:t>
      </w:r>
    </w:p>
    <w:p w:rsidR="00F851B7" w:rsidRPr="00C201F2" w:rsidRDefault="00F851B7" w:rsidP="0098783B">
      <w:pPr>
        <w:spacing w:line="360" w:lineRule="auto"/>
        <w:ind w:left="0" w:right="0" w:firstLine="0"/>
        <w:jc w:val="both"/>
        <w:rPr>
          <w:rFonts w:eastAsia="Calibri" w:cs="Times New Roman"/>
          <w:sz w:val="22"/>
        </w:rPr>
      </w:pPr>
      <w:r w:rsidRPr="00C201F2">
        <w:rPr>
          <w:rFonts w:eastAsia="Calibri" w:cs="Times New Roman"/>
          <w:sz w:val="22"/>
        </w:rPr>
        <w:t>H</w:t>
      </w:r>
      <w:r w:rsidRPr="00C201F2">
        <w:rPr>
          <w:rFonts w:eastAsia="Calibri" w:cs="Times New Roman"/>
          <w:sz w:val="22"/>
          <w:vertAlign w:val="subscript"/>
        </w:rPr>
        <w:t>3</w:t>
      </w:r>
      <w:r w:rsidRPr="00C201F2">
        <w:rPr>
          <w:rFonts w:eastAsia="Calibri" w:cs="Times New Roman"/>
          <w:sz w:val="22"/>
        </w:rPr>
        <w:t xml:space="preserve"> : </w:t>
      </w:r>
      <w:r w:rsidRPr="00C201F2">
        <w:rPr>
          <w:rFonts w:eastAsia="Calibri" w:cs="Times New Roman"/>
          <w:i/>
          <w:sz w:val="22"/>
        </w:rPr>
        <w:t xml:space="preserve">Coverage </w:t>
      </w:r>
      <w:r w:rsidRPr="00C201F2">
        <w:rPr>
          <w:rFonts w:eastAsia="Calibri" w:cs="Times New Roman"/>
          <w:sz w:val="22"/>
        </w:rPr>
        <w:t>berpengaruh positif terhadap peringkat obligasi</w:t>
      </w:r>
    </w:p>
    <w:p w:rsidR="00984823" w:rsidRPr="00984823" w:rsidRDefault="00984823" w:rsidP="00984823">
      <w:pPr>
        <w:pStyle w:val="ListParagraph"/>
        <w:numPr>
          <w:ilvl w:val="0"/>
          <w:numId w:val="12"/>
        </w:numPr>
        <w:spacing w:line="360" w:lineRule="auto"/>
        <w:ind w:left="426" w:right="0" w:hanging="426"/>
        <w:jc w:val="both"/>
        <w:rPr>
          <w:rFonts w:eastAsia="Calibri" w:cs="Times New Roman"/>
          <w:i/>
          <w:sz w:val="22"/>
        </w:rPr>
      </w:pPr>
      <w:r w:rsidRPr="00984823">
        <w:rPr>
          <w:rFonts w:eastAsia="Calibri" w:cs="Times New Roman"/>
          <w:i/>
          <w:iCs/>
          <w:sz w:val="22"/>
        </w:rPr>
        <w:t>Rasio Cash Flow to Debt</w:t>
      </w:r>
    </w:p>
    <w:p w:rsidR="00DE6621" w:rsidRPr="0005522F" w:rsidRDefault="00DE6621" w:rsidP="0098783B">
      <w:pPr>
        <w:spacing w:line="360" w:lineRule="auto"/>
        <w:ind w:left="0" w:firstLine="0"/>
        <w:jc w:val="both"/>
        <w:rPr>
          <w:rFonts w:cs="Times New Roman"/>
          <w:sz w:val="22"/>
        </w:rPr>
      </w:pPr>
      <w:r w:rsidRPr="0005522F">
        <w:rPr>
          <w:rFonts w:cs="Times New Roman"/>
          <w:b/>
          <w:iCs/>
          <w:sz w:val="22"/>
        </w:rPr>
        <w:tab/>
      </w:r>
      <w:r w:rsidRPr="0005522F">
        <w:rPr>
          <w:rFonts w:cs="Times New Roman"/>
          <w:i/>
          <w:sz w:val="22"/>
        </w:rPr>
        <w:t>Cash flow to debt ratio</w:t>
      </w:r>
      <w:r w:rsidRPr="0005522F">
        <w:rPr>
          <w:rFonts w:cs="Times New Roman"/>
          <w:sz w:val="22"/>
        </w:rPr>
        <w:t xml:space="preserve">, yaitu rasio total arus kas terhadap total utang. Rasio ini mengukur kemampuan perusahaan untuk membayar utang-utangnya dengan kas yang dihasilkan. </w:t>
      </w:r>
      <w:r w:rsidR="003C3E81">
        <w:rPr>
          <w:rFonts w:cs="Times New Roman"/>
          <w:sz w:val="22"/>
        </w:rPr>
        <w:t>Zubir (2012) mengatakan bahwa m</w:t>
      </w:r>
      <w:r w:rsidRPr="0005522F">
        <w:rPr>
          <w:rFonts w:cs="Times New Roman"/>
          <w:sz w:val="22"/>
        </w:rPr>
        <w:t>akin besar kas yang dihasilkan dibandingkan dengan total utang, makin sehat perusahaan tersebut dan risiko gagal bayarnya kecil.</w:t>
      </w:r>
    </w:p>
    <w:p w:rsidR="00F851B7" w:rsidRPr="00C201F2" w:rsidRDefault="00F851B7" w:rsidP="0098783B">
      <w:pPr>
        <w:spacing w:line="360" w:lineRule="auto"/>
        <w:ind w:left="0" w:right="0" w:firstLine="0"/>
        <w:jc w:val="both"/>
        <w:rPr>
          <w:rFonts w:eastAsia="Calibri" w:cs="Times New Roman"/>
          <w:sz w:val="22"/>
        </w:rPr>
      </w:pPr>
      <w:r w:rsidRPr="00C201F2">
        <w:rPr>
          <w:rFonts w:eastAsia="Calibri" w:cs="Times New Roman"/>
          <w:sz w:val="22"/>
        </w:rPr>
        <w:t>H</w:t>
      </w:r>
      <w:r w:rsidRPr="00C201F2">
        <w:rPr>
          <w:rFonts w:eastAsia="Calibri" w:cs="Times New Roman"/>
          <w:sz w:val="22"/>
          <w:vertAlign w:val="subscript"/>
        </w:rPr>
        <w:t>4</w:t>
      </w:r>
      <w:r w:rsidRPr="00C201F2">
        <w:rPr>
          <w:rFonts w:eastAsia="Calibri" w:cs="Times New Roman"/>
          <w:sz w:val="22"/>
        </w:rPr>
        <w:t xml:space="preserve"> : </w:t>
      </w:r>
      <w:r w:rsidRPr="00C201F2">
        <w:rPr>
          <w:rFonts w:eastAsia="Calibri" w:cs="Times New Roman"/>
          <w:i/>
          <w:sz w:val="22"/>
        </w:rPr>
        <w:t>Cash flow to debt ratio</w:t>
      </w:r>
      <w:r w:rsidRPr="00C201F2">
        <w:rPr>
          <w:rFonts w:eastAsia="Calibri" w:cs="Times New Roman"/>
          <w:sz w:val="22"/>
        </w:rPr>
        <w:t xml:space="preserve"> berpengaruh positif terhadap peringkat</w:t>
      </w:r>
      <w:r w:rsidR="00A16A00" w:rsidRPr="00C201F2">
        <w:rPr>
          <w:rFonts w:eastAsia="Calibri" w:cs="Times New Roman"/>
          <w:sz w:val="22"/>
        </w:rPr>
        <w:t xml:space="preserve"> </w:t>
      </w:r>
      <w:r w:rsidRPr="00C201F2">
        <w:rPr>
          <w:rFonts w:eastAsia="Calibri" w:cs="Times New Roman"/>
          <w:sz w:val="22"/>
        </w:rPr>
        <w:t>obligasi</w:t>
      </w:r>
    </w:p>
    <w:p w:rsidR="003C3E81" w:rsidRPr="003C3E81" w:rsidRDefault="003C3E81" w:rsidP="003C3E81">
      <w:pPr>
        <w:pStyle w:val="ListParagraph"/>
        <w:numPr>
          <w:ilvl w:val="0"/>
          <w:numId w:val="12"/>
        </w:numPr>
        <w:spacing w:line="360" w:lineRule="auto"/>
        <w:ind w:left="426" w:right="0" w:hanging="426"/>
        <w:jc w:val="both"/>
        <w:rPr>
          <w:rFonts w:eastAsia="Calibri" w:cs="Times New Roman"/>
          <w:i/>
          <w:sz w:val="22"/>
        </w:rPr>
      </w:pPr>
      <w:r w:rsidRPr="003C3E81">
        <w:rPr>
          <w:rFonts w:eastAsia="Calibri" w:cs="Times New Roman"/>
          <w:i/>
          <w:iCs/>
          <w:sz w:val="22"/>
        </w:rPr>
        <w:t>Rasio Profitabilitas</w:t>
      </w:r>
    </w:p>
    <w:p w:rsidR="00DE6621" w:rsidRPr="0005522F" w:rsidRDefault="003C3E81" w:rsidP="0098783B">
      <w:pPr>
        <w:spacing w:line="360" w:lineRule="auto"/>
        <w:ind w:left="0" w:firstLine="0"/>
        <w:jc w:val="both"/>
        <w:rPr>
          <w:rFonts w:cs="Times New Roman"/>
          <w:iCs/>
          <w:sz w:val="22"/>
        </w:rPr>
      </w:pPr>
      <w:r>
        <w:rPr>
          <w:rFonts w:cs="Times New Roman"/>
          <w:b/>
          <w:iCs/>
          <w:sz w:val="22"/>
        </w:rPr>
        <w:tab/>
      </w:r>
      <w:r w:rsidR="00DE6621" w:rsidRPr="0005522F">
        <w:rPr>
          <w:rFonts w:cs="Times New Roman"/>
          <w:iCs/>
          <w:sz w:val="22"/>
        </w:rPr>
        <w:t>Men</w:t>
      </w:r>
      <w:r>
        <w:rPr>
          <w:rFonts w:cs="Times New Roman"/>
          <w:iCs/>
          <w:sz w:val="22"/>
        </w:rPr>
        <w:t>urut Brigham &amp; Houston (2012</w:t>
      </w:r>
      <w:r w:rsidR="00DE6621" w:rsidRPr="0005522F">
        <w:rPr>
          <w:rFonts w:cs="Times New Roman"/>
          <w:iCs/>
          <w:sz w:val="22"/>
        </w:rPr>
        <w:t>) rasio profitabilitas (</w:t>
      </w:r>
      <w:r w:rsidR="00DE6621" w:rsidRPr="0005522F">
        <w:rPr>
          <w:rFonts w:cs="Times New Roman"/>
          <w:i/>
          <w:iCs/>
          <w:sz w:val="22"/>
        </w:rPr>
        <w:t>profitabilitty ratios</w:t>
      </w:r>
      <w:r w:rsidR="00DE6621" w:rsidRPr="0005522F">
        <w:rPr>
          <w:rFonts w:cs="Times New Roman"/>
          <w:iCs/>
          <w:sz w:val="22"/>
        </w:rPr>
        <w:t>)</w:t>
      </w:r>
      <w:r w:rsidR="00DE6621" w:rsidRPr="0005522F">
        <w:rPr>
          <w:rFonts w:cs="Times New Roman"/>
          <w:b/>
          <w:iCs/>
          <w:sz w:val="22"/>
        </w:rPr>
        <w:t xml:space="preserve"> </w:t>
      </w:r>
      <w:r w:rsidR="00DE6621" w:rsidRPr="0005522F">
        <w:rPr>
          <w:rFonts w:cs="Times New Roman"/>
          <w:iCs/>
          <w:sz w:val="22"/>
        </w:rPr>
        <w:t>ialah sekumpulan rasio yang menunjukkan kombinasi dari pengaruh likuiditas, manajemen aset, dan utang pada hasil operasi. Rasio ini menggambarkan kemampuan perusahaan untuk menghasilkan keun</w:t>
      </w:r>
      <w:r w:rsidR="00F851B7" w:rsidRPr="0005522F">
        <w:rPr>
          <w:rFonts w:cs="Times New Roman"/>
          <w:iCs/>
          <w:sz w:val="22"/>
        </w:rPr>
        <w:t>tu</w:t>
      </w:r>
      <w:r>
        <w:rPr>
          <w:rFonts w:cs="Times New Roman"/>
          <w:iCs/>
          <w:sz w:val="22"/>
        </w:rPr>
        <w:t>n</w:t>
      </w:r>
      <w:r w:rsidR="00DE6621" w:rsidRPr="0005522F">
        <w:rPr>
          <w:rFonts w:cs="Times New Roman"/>
          <w:iCs/>
          <w:sz w:val="22"/>
        </w:rPr>
        <w:t>gan. Rasio profitabilitas juga mencerminkan hasil akhir dari seluruh kebijakan keuangan dan keputusan operasional.</w:t>
      </w:r>
    </w:p>
    <w:p w:rsidR="00F851B7" w:rsidRPr="00C201F2" w:rsidRDefault="00F851B7" w:rsidP="0098783B">
      <w:pPr>
        <w:autoSpaceDE w:val="0"/>
        <w:autoSpaceDN w:val="0"/>
        <w:adjustRightInd w:val="0"/>
        <w:spacing w:line="360" w:lineRule="auto"/>
        <w:ind w:left="0" w:right="0" w:firstLine="0"/>
        <w:jc w:val="both"/>
        <w:rPr>
          <w:rFonts w:eastAsia="Calibri" w:cs="Times New Roman"/>
          <w:i/>
          <w:sz w:val="22"/>
        </w:rPr>
      </w:pPr>
      <w:r w:rsidRPr="00C201F2">
        <w:rPr>
          <w:rFonts w:eastAsia="Calibri" w:cs="Times New Roman"/>
          <w:sz w:val="22"/>
        </w:rPr>
        <w:t>H</w:t>
      </w:r>
      <w:r w:rsidRPr="00C201F2">
        <w:rPr>
          <w:rFonts w:eastAsia="Calibri" w:cs="Times New Roman"/>
          <w:sz w:val="22"/>
          <w:vertAlign w:val="subscript"/>
        </w:rPr>
        <w:t>5</w:t>
      </w:r>
      <w:r w:rsidRPr="00C201F2">
        <w:rPr>
          <w:rFonts w:eastAsia="Calibri" w:cs="Times New Roman"/>
          <w:sz w:val="22"/>
        </w:rPr>
        <w:t xml:space="preserve"> : Profitabilitas berpengaruh positif terhadap peringkat obligasi</w:t>
      </w:r>
    </w:p>
    <w:p w:rsidR="003C3E81" w:rsidRPr="003C3E81" w:rsidRDefault="003C3E81" w:rsidP="003C3E81">
      <w:pPr>
        <w:pStyle w:val="ListParagraph"/>
        <w:numPr>
          <w:ilvl w:val="0"/>
          <w:numId w:val="12"/>
        </w:numPr>
        <w:autoSpaceDE w:val="0"/>
        <w:autoSpaceDN w:val="0"/>
        <w:adjustRightInd w:val="0"/>
        <w:spacing w:line="360" w:lineRule="auto"/>
        <w:ind w:left="426" w:right="0" w:hanging="426"/>
        <w:jc w:val="both"/>
        <w:rPr>
          <w:rFonts w:eastAsia="Calibri" w:cs="Times New Roman"/>
          <w:i/>
          <w:sz w:val="22"/>
        </w:rPr>
      </w:pPr>
      <w:r w:rsidRPr="003C3E81">
        <w:rPr>
          <w:rFonts w:eastAsia="Calibri" w:cs="Times New Roman"/>
          <w:i/>
          <w:iCs/>
          <w:sz w:val="22"/>
        </w:rPr>
        <w:t>Umur Obligasi</w:t>
      </w:r>
    </w:p>
    <w:p w:rsidR="00F851B7" w:rsidRPr="0005522F" w:rsidRDefault="00DE6621" w:rsidP="0098783B">
      <w:pPr>
        <w:spacing w:line="360" w:lineRule="auto"/>
        <w:ind w:left="0" w:firstLine="0"/>
        <w:jc w:val="both"/>
        <w:rPr>
          <w:rFonts w:cs="Times New Roman"/>
          <w:b/>
          <w:iCs/>
          <w:sz w:val="22"/>
        </w:rPr>
      </w:pPr>
      <w:r w:rsidRPr="0005522F">
        <w:rPr>
          <w:rFonts w:cs="Times New Roman"/>
          <w:iCs/>
          <w:sz w:val="22"/>
        </w:rPr>
        <w:tab/>
      </w:r>
      <w:r w:rsidR="00F851B7" w:rsidRPr="0005522F">
        <w:rPr>
          <w:rFonts w:cs="Times New Roman"/>
          <w:iCs/>
          <w:sz w:val="22"/>
        </w:rPr>
        <w:t>Umur obligasi (</w:t>
      </w:r>
      <w:r w:rsidR="00F851B7" w:rsidRPr="0005522F">
        <w:rPr>
          <w:rFonts w:cs="Times New Roman"/>
          <w:i/>
          <w:iCs/>
          <w:sz w:val="22"/>
        </w:rPr>
        <w:t xml:space="preserve">maturity) </w:t>
      </w:r>
      <w:r w:rsidR="00F851B7" w:rsidRPr="0005522F">
        <w:rPr>
          <w:rFonts w:cs="Times New Roman"/>
          <w:iCs/>
          <w:sz w:val="22"/>
        </w:rPr>
        <w:t>adalah jangka waktu sejak diterbitkannya obligasi sampai dengan tanggal jatuh tempo obligasi. Periode jatuh tempo obligasi bervariasi mulai dari 365 hari sampai dengan diatas 5 tahun. Obligasi yang jatuh tempo dalam waktu 1 tahun akan lebih mudah untuk di prediksi, sehingga memilki risiko yang lebih kecil dibandingkan dengan obligasi yang memiliki periode jatuh tempo dalam waktu 5 tahun.</w:t>
      </w:r>
    </w:p>
    <w:p w:rsidR="00881F5A" w:rsidRPr="00C201F2" w:rsidRDefault="00F851B7" w:rsidP="00881F5A">
      <w:pPr>
        <w:spacing w:line="360" w:lineRule="auto"/>
        <w:ind w:left="0" w:firstLine="0"/>
        <w:jc w:val="both"/>
        <w:rPr>
          <w:rFonts w:eastAsia="Calibri" w:cs="Times New Roman"/>
          <w:sz w:val="22"/>
        </w:rPr>
      </w:pPr>
      <w:r w:rsidRPr="00C201F2">
        <w:rPr>
          <w:rFonts w:eastAsia="Calibri" w:cs="Times New Roman"/>
          <w:sz w:val="22"/>
        </w:rPr>
        <w:t>H</w:t>
      </w:r>
      <w:r w:rsidRPr="00C201F2">
        <w:rPr>
          <w:rFonts w:eastAsia="Calibri" w:cs="Times New Roman"/>
          <w:sz w:val="22"/>
          <w:vertAlign w:val="subscript"/>
        </w:rPr>
        <w:t>6</w:t>
      </w:r>
      <w:r w:rsidRPr="00C201F2">
        <w:rPr>
          <w:rFonts w:eastAsia="Calibri" w:cs="Times New Roman"/>
          <w:sz w:val="22"/>
        </w:rPr>
        <w:t xml:space="preserve"> : Umur Obligasi berpengaruh negatif terhadap peringkat obligasi</w:t>
      </w:r>
    </w:p>
    <w:p w:rsidR="00B45166" w:rsidRPr="00FC6A51" w:rsidRDefault="003C3E81" w:rsidP="00FC6A51">
      <w:pPr>
        <w:spacing w:line="360" w:lineRule="auto"/>
        <w:ind w:left="0" w:firstLine="0"/>
        <w:rPr>
          <w:rFonts w:eastAsia="Calibri" w:cs="Times New Roman"/>
          <w:b/>
          <w:sz w:val="22"/>
        </w:rPr>
      </w:pPr>
      <w:r w:rsidRPr="003C3E81">
        <w:rPr>
          <w:rFonts w:cs="Times New Roman"/>
          <w:b/>
          <w:iCs/>
          <w:sz w:val="22"/>
        </w:rPr>
        <w:t xml:space="preserve">3. </w:t>
      </w:r>
      <w:r w:rsidR="00A16A00" w:rsidRPr="003C3E81">
        <w:rPr>
          <w:rFonts w:cs="Times New Roman"/>
          <w:b/>
          <w:iCs/>
          <w:sz w:val="22"/>
        </w:rPr>
        <w:t>METODE PENELITIAN</w:t>
      </w:r>
    </w:p>
    <w:p w:rsidR="00467446" w:rsidRPr="005E75E9" w:rsidRDefault="003C3E81" w:rsidP="005E75E9">
      <w:pPr>
        <w:spacing w:line="360" w:lineRule="auto"/>
        <w:ind w:left="0" w:firstLine="0"/>
        <w:rPr>
          <w:rFonts w:cs="Times New Roman"/>
          <w:i/>
          <w:iCs/>
          <w:sz w:val="22"/>
        </w:rPr>
      </w:pPr>
      <w:r w:rsidRPr="003C3E81">
        <w:rPr>
          <w:rFonts w:cs="Times New Roman"/>
          <w:i/>
          <w:iCs/>
          <w:sz w:val="22"/>
        </w:rPr>
        <w:t>3.1</w:t>
      </w:r>
      <w:r>
        <w:rPr>
          <w:rFonts w:cs="Times New Roman"/>
          <w:i/>
          <w:iCs/>
          <w:sz w:val="22"/>
        </w:rPr>
        <w:t xml:space="preserve"> </w:t>
      </w:r>
      <w:r w:rsidR="005E75E9">
        <w:rPr>
          <w:rFonts w:cs="Times New Roman"/>
          <w:i/>
          <w:iCs/>
          <w:sz w:val="22"/>
        </w:rPr>
        <w:t>Operasional Variabel</w:t>
      </w:r>
    </w:p>
    <w:p w:rsidR="00467446" w:rsidRDefault="00FD6621" w:rsidP="0098783B">
      <w:pPr>
        <w:autoSpaceDE w:val="0"/>
        <w:autoSpaceDN w:val="0"/>
        <w:adjustRightInd w:val="0"/>
        <w:spacing w:line="360" w:lineRule="auto"/>
        <w:ind w:left="0" w:right="0" w:firstLine="0"/>
        <w:jc w:val="both"/>
        <w:rPr>
          <w:rFonts w:cs="Times New Roman"/>
          <w:sz w:val="22"/>
        </w:rPr>
      </w:pPr>
      <w:r>
        <w:rPr>
          <w:rFonts w:cs="Times New Roman"/>
          <w:b/>
          <w:sz w:val="22"/>
        </w:rPr>
        <w:tab/>
      </w:r>
      <w:r w:rsidR="00467446" w:rsidRPr="00467446">
        <w:rPr>
          <w:rFonts w:cs="Times New Roman"/>
          <w:sz w:val="22"/>
        </w:rPr>
        <w:t>Operasionalisasi dari variabel-variab</w:t>
      </w:r>
      <w:r w:rsidR="00467446">
        <w:rPr>
          <w:rFonts w:cs="Times New Roman"/>
          <w:sz w:val="22"/>
        </w:rPr>
        <w:t xml:space="preserve">el yang akan </w:t>
      </w:r>
      <w:r w:rsidR="00467446" w:rsidRPr="00467446">
        <w:rPr>
          <w:rFonts w:cs="Times New Roman"/>
          <w:sz w:val="22"/>
        </w:rPr>
        <w:t>digunakan</w:t>
      </w:r>
      <w:r w:rsidR="00467446">
        <w:rPr>
          <w:rFonts w:cs="Times New Roman"/>
          <w:sz w:val="22"/>
        </w:rPr>
        <w:t xml:space="preserve"> </w:t>
      </w:r>
      <w:r w:rsidR="00467446" w:rsidRPr="00467446">
        <w:rPr>
          <w:rFonts w:cs="Times New Roman"/>
          <w:sz w:val="22"/>
        </w:rPr>
        <w:t>dalam penelitian ini, yaitu:</w:t>
      </w:r>
    </w:p>
    <w:p w:rsidR="00467446" w:rsidRDefault="00467446" w:rsidP="0098783B">
      <w:pPr>
        <w:pStyle w:val="ListParagraph"/>
        <w:numPr>
          <w:ilvl w:val="0"/>
          <w:numId w:val="4"/>
        </w:numPr>
        <w:spacing w:line="360" w:lineRule="auto"/>
        <w:ind w:left="426" w:hanging="426"/>
        <w:jc w:val="both"/>
        <w:rPr>
          <w:rFonts w:cs="Times New Roman"/>
          <w:sz w:val="22"/>
        </w:rPr>
      </w:pPr>
      <w:r w:rsidRPr="00467446">
        <w:rPr>
          <w:rFonts w:cs="Times New Roman"/>
          <w:sz w:val="22"/>
        </w:rPr>
        <w:t>Peringkat Obligasi sebagai variabel dependen. Peringkat obligasi yang digunakan</w:t>
      </w:r>
      <w:r>
        <w:rPr>
          <w:rFonts w:cs="Times New Roman"/>
          <w:sz w:val="22"/>
        </w:rPr>
        <w:t xml:space="preserve"> </w:t>
      </w:r>
      <w:r w:rsidRPr="00467446">
        <w:rPr>
          <w:rFonts w:cs="Times New Roman"/>
          <w:sz w:val="22"/>
        </w:rPr>
        <w:t>dalam penelitian ini adalah peringkat obligasi yang dikeluarkan oleh PT Pefindo.</w:t>
      </w:r>
      <w:r>
        <w:rPr>
          <w:rFonts w:cs="Times New Roman"/>
          <w:sz w:val="22"/>
        </w:rPr>
        <w:t xml:space="preserve"> </w:t>
      </w:r>
      <w:r w:rsidR="00334DD1">
        <w:rPr>
          <w:rFonts w:cs="Times New Roman"/>
          <w:sz w:val="22"/>
        </w:rPr>
        <w:t xml:space="preserve">Peringkat obligasi tersebut </w:t>
      </w:r>
      <w:r w:rsidR="005E75E9">
        <w:rPr>
          <w:rFonts w:cs="Times New Roman"/>
          <w:sz w:val="22"/>
        </w:rPr>
        <w:t xml:space="preserve">diproksikan menggunakan variabel </w:t>
      </w:r>
      <w:r w:rsidR="005E75E9" w:rsidRPr="005E75E9">
        <w:rPr>
          <w:rFonts w:cs="Times New Roman"/>
          <w:i/>
          <w:sz w:val="22"/>
        </w:rPr>
        <w:t>dummy</w:t>
      </w:r>
      <w:r w:rsidR="005E75E9">
        <w:rPr>
          <w:rFonts w:cs="Times New Roman"/>
          <w:sz w:val="22"/>
        </w:rPr>
        <w:t xml:space="preserve"> yaitu 1 =</w:t>
      </w:r>
      <w:r w:rsidR="00334DD1">
        <w:rPr>
          <w:rFonts w:cs="Times New Roman"/>
          <w:sz w:val="22"/>
        </w:rPr>
        <w:t xml:space="preserve"> </w:t>
      </w:r>
      <w:r w:rsidR="00334DD1">
        <w:rPr>
          <w:rFonts w:cs="Times New Roman"/>
          <w:i/>
          <w:sz w:val="22"/>
        </w:rPr>
        <w:t>investment grade</w:t>
      </w:r>
      <w:r w:rsidR="00334DD1">
        <w:rPr>
          <w:rFonts w:cs="Times New Roman"/>
          <w:sz w:val="22"/>
        </w:rPr>
        <w:t xml:space="preserve"> dan 0 = </w:t>
      </w:r>
      <w:r w:rsidR="00334DD1">
        <w:rPr>
          <w:rFonts w:cs="Times New Roman"/>
          <w:i/>
          <w:sz w:val="22"/>
        </w:rPr>
        <w:t>non-investment grade</w:t>
      </w:r>
      <w:r w:rsidR="00334DD1">
        <w:rPr>
          <w:rFonts w:cs="Times New Roman"/>
          <w:sz w:val="22"/>
        </w:rPr>
        <w:t>.</w:t>
      </w:r>
    </w:p>
    <w:p w:rsidR="00881F5A" w:rsidRPr="00C201F2" w:rsidRDefault="00C201F2" w:rsidP="00C201F2">
      <w:pPr>
        <w:pStyle w:val="ListParagraph"/>
        <w:numPr>
          <w:ilvl w:val="0"/>
          <w:numId w:val="4"/>
        </w:numPr>
        <w:spacing w:line="360" w:lineRule="auto"/>
        <w:ind w:left="426" w:hanging="426"/>
        <w:jc w:val="both"/>
        <w:rPr>
          <w:rFonts w:cs="Times New Roman"/>
          <w:sz w:val="22"/>
        </w:rPr>
      </w:pPr>
      <w:r>
        <w:rPr>
          <w:rFonts w:cs="Times New Roman"/>
          <w:sz w:val="22"/>
        </w:rPr>
        <w:t>Variabel independen berupa: (1) l</w:t>
      </w:r>
      <w:r w:rsidR="00334DD1" w:rsidRPr="00C201F2">
        <w:rPr>
          <w:rFonts w:cs="Times New Roman"/>
          <w:sz w:val="22"/>
        </w:rPr>
        <w:t xml:space="preserve">ikuiditas diproksikan melalui </w:t>
      </w:r>
      <w:r w:rsidR="00334DD1" w:rsidRPr="00C201F2">
        <w:rPr>
          <w:rFonts w:cs="Times New Roman"/>
          <w:i/>
          <w:sz w:val="22"/>
        </w:rPr>
        <w:t>current ratio</w:t>
      </w:r>
      <w:r w:rsidR="00334DD1" w:rsidRPr="00C201F2">
        <w:rPr>
          <w:rFonts w:cs="Times New Roman"/>
          <w:sz w:val="22"/>
        </w:rPr>
        <w:t xml:space="preserve"> yang diukur dengan membandingkan aset</w:t>
      </w:r>
      <w:r>
        <w:rPr>
          <w:rFonts w:cs="Times New Roman"/>
          <w:sz w:val="22"/>
        </w:rPr>
        <w:t xml:space="preserve"> lancar dengan kewajiban lancar; (2) </w:t>
      </w:r>
      <w:r>
        <w:rPr>
          <w:rFonts w:cs="Times New Roman"/>
          <w:i/>
          <w:sz w:val="22"/>
        </w:rPr>
        <w:t>L</w:t>
      </w:r>
      <w:r w:rsidR="00334DD1" w:rsidRPr="00C201F2">
        <w:rPr>
          <w:rFonts w:cs="Times New Roman"/>
          <w:i/>
          <w:sz w:val="22"/>
        </w:rPr>
        <w:t>everage</w:t>
      </w:r>
      <w:r w:rsidR="00334DD1" w:rsidRPr="00C201F2">
        <w:rPr>
          <w:rFonts w:cs="Times New Roman"/>
          <w:sz w:val="22"/>
        </w:rPr>
        <w:t xml:space="preserve"> diproksikan melalui </w:t>
      </w:r>
      <w:r w:rsidR="00B04785" w:rsidRPr="00C201F2">
        <w:rPr>
          <w:rFonts w:cs="Times New Roman"/>
          <w:i/>
          <w:sz w:val="22"/>
        </w:rPr>
        <w:t>debt to equity ratio</w:t>
      </w:r>
      <w:r w:rsidR="00334DD1" w:rsidRPr="00C201F2">
        <w:rPr>
          <w:rFonts w:cs="Times New Roman"/>
          <w:sz w:val="22"/>
        </w:rPr>
        <w:t xml:space="preserve"> yang diukur dengan membandingkan </w:t>
      </w:r>
      <w:r w:rsidR="00B04785" w:rsidRPr="00C201F2">
        <w:rPr>
          <w:rFonts w:cs="Times New Roman"/>
          <w:sz w:val="22"/>
        </w:rPr>
        <w:t>t</w:t>
      </w:r>
      <w:r>
        <w:rPr>
          <w:rFonts w:cs="Times New Roman"/>
          <w:sz w:val="22"/>
        </w:rPr>
        <w:t xml:space="preserve">otal utang dengan total ekuitas; (3) </w:t>
      </w:r>
      <w:r w:rsidR="00B04785" w:rsidRPr="00C201F2">
        <w:rPr>
          <w:rFonts w:cs="Times New Roman"/>
          <w:i/>
          <w:sz w:val="22"/>
        </w:rPr>
        <w:t>Coverage</w:t>
      </w:r>
      <w:r w:rsidR="00B04785" w:rsidRPr="00C201F2">
        <w:rPr>
          <w:rFonts w:cs="Times New Roman"/>
          <w:sz w:val="22"/>
        </w:rPr>
        <w:t xml:space="preserve"> diproksikan melalui </w:t>
      </w:r>
      <w:r w:rsidR="00B04785" w:rsidRPr="00C201F2">
        <w:rPr>
          <w:rFonts w:cs="Times New Roman"/>
          <w:i/>
          <w:sz w:val="22"/>
        </w:rPr>
        <w:t xml:space="preserve">time interest earned ratio </w:t>
      </w:r>
      <w:r w:rsidR="00B04785" w:rsidRPr="00C201F2">
        <w:rPr>
          <w:rFonts w:cs="Times New Roman"/>
          <w:sz w:val="22"/>
        </w:rPr>
        <w:t xml:space="preserve">yang diukur dengan membandingkan </w:t>
      </w:r>
      <w:r>
        <w:rPr>
          <w:rFonts w:cs="Times New Roman"/>
          <w:sz w:val="22"/>
        </w:rPr>
        <w:t xml:space="preserve">laba operasi dengan biaya bunga; (4) </w:t>
      </w:r>
      <w:r w:rsidR="00B04785" w:rsidRPr="00C201F2">
        <w:rPr>
          <w:rFonts w:cs="Times New Roman"/>
          <w:i/>
          <w:sz w:val="22"/>
        </w:rPr>
        <w:t>Cash flow to debt ratio</w:t>
      </w:r>
      <w:r w:rsidR="00B04785" w:rsidRPr="00C201F2">
        <w:rPr>
          <w:rFonts w:cs="Times New Roman"/>
          <w:sz w:val="22"/>
        </w:rPr>
        <w:t xml:space="preserve"> diukur dengan membandingkan to</w:t>
      </w:r>
      <w:r>
        <w:rPr>
          <w:rFonts w:cs="Times New Roman"/>
          <w:sz w:val="22"/>
        </w:rPr>
        <w:t xml:space="preserve">tal arus kas dengan total utang; (5) </w:t>
      </w:r>
      <w:r w:rsidR="00B04785" w:rsidRPr="00C201F2">
        <w:rPr>
          <w:rFonts w:cs="Times New Roman"/>
          <w:sz w:val="22"/>
        </w:rPr>
        <w:t xml:space="preserve">Profitabilitas diproksikan melalui </w:t>
      </w:r>
      <w:r w:rsidR="00B04785" w:rsidRPr="00C201F2">
        <w:rPr>
          <w:rFonts w:eastAsia="Calibri" w:cs="Times New Roman"/>
          <w:i/>
          <w:sz w:val="22"/>
        </w:rPr>
        <w:t xml:space="preserve">return on total </w:t>
      </w:r>
      <w:r w:rsidR="00B04785" w:rsidRPr="00C201F2">
        <w:rPr>
          <w:rFonts w:eastAsia="Calibri" w:cs="Times New Roman"/>
          <w:sz w:val="22"/>
        </w:rPr>
        <w:t>assets</w:t>
      </w:r>
      <w:r w:rsidR="00B04785" w:rsidRPr="00C201F2">
        <w:rPr>
          <w:rFonts w:cs="Times New Roman"/>
          <w:sz w:val="22"/>
        </w:rPr>
        <w:t xml:space="preserve"> (ROA) yang diukur dengan membandingka</w:t>
      </w:r>
      <w:r>
        <w:rPr>
          <w:rFonts w:cs="Times New Roman"/>
          <w:sz w:val="22"/>
        </w:rPr>
        <w:t xml:space="preserve">n laba bersih dengan total aset; (6) </w:t>
      </w:r>
      <w:r w:rsidR="00B04785" w:rsidRPr="00C201F2">
        <w:rPr>
          <w:rFonts w:cs="Times New Roman"/>
          <w:sz w:val="22"/>
        </w:rPr>
        <w:t xml:space="preserve">Umur obligasi </w:t>
      </w:r>
      <w:r w:rsidR="00B04785" w:rsidRPr="00C201F2">
        <w:rPr>
          <w:rFonts w:eastAsia="Calibri" w:cs="Times New Roman"/>
          <w:sz w:val="22"/>
        </w:rPr>
        <w:t xml:space="preserve">diproksikan menggunakan variabel </w:t>
      </w:r>
      <w:r w:rsidR="00B04785" w:rsidRPr="00C201F2">
        <w:rPr>
          <w:rFonts w:eastAsia="Calibri" w:cs="Times New Roman"/>
          <w:i/>
          <w:sz w:val="22"/>
        </w:rPr>
        <w:t>dummy</w:t>
      </w:r>
      <w:r w:rsidR="00B04785" w:rsidRPr="00C201F2">
        <w:rPr>
          <w:rFonts w:eastAsia="Calibri" w:cs="Times New Roman"/>
          <w:sz w:val="22"/>
        </w:rPr>
        <w:t xml:space="preserve"> yaitu 1=</w:t>
      </w:r>
      <w:r w:rsidR="00B04785" w:rsidRPr="00C201F2">
        <w:rPr>
          <w:rFonts w:eastAsia="Calibri" w:cs="Times New Roman"/>
          <w:b/>
          <w:sz w:val="22"/>
        </w:rPr>
        <w:t xml:space="preserve"> </w:t>
      </w:r>
      <w:r w:rsidR="00B04785" w:rsidRPr="00C201F2">
        <w:rPr>
          <w:rFonts w:cs="Times New Roman"/>
          <w:sz w:val="22"/>
        </w:rPr>
        <w:t>obligasi jatuh tempo 1-</w:t>
      </w:r>
      <w:r w:rsidR="00B04785" w:rsidRPr="00C201F2">
        <w:rPr>
          <w:rFonts w:eastAsia="Calibri" w:cs="Times New Roman"/>
          <w:sz w:val="22"/>
        </w:rPr>
        <w:t>5 tahun dan 0 = obligasi jatuh tempo &gt; 5 tahun.</w:t>
      </w:r>
    </w:p>
    <w:p w:rsidR="005E75E9" w:rsidRDefault="005E75E9" w:rsidP="00881F5A">
      <w:pPr>
        <w:pStyle w:val="ListParagraph"/>
        <w:spacing w:line="360" w:lineRule="auto"/>
        <w:ind w:left="0" w:firstLine="0"/>
        <w:jc w:val="both"/>
        <w:rPr>
          <w:rFonts w:cs="Times New Roman"/>
          <w:sz w:val="22"/>
        </w:rPr>
      </w:pPr>
      <w:r w:rsidRPr="00881F5A">
        <w:rPr>
          <w:rFonts w:cs="Times New Roman"/>
          <w:i/>
          <w:sz w:val="22"/>
        </w:rPr>
        <w:t>3.2 Teknik Analisis Data</w:t>
      </w:r>
    </w:p>
    <w:p w:rsidR="00C73793" w:rsidRPr="009E6561" w:rsidRDefault="009E6561" w:rsidP="009E6561">
      <w:pPr>
        <w:pStyle w:val="ListParagraph"/>
        <w:spacing w:line="360" w:lineRule="auto"/>
        <w:ind w:left="0" w:firstLine="0"/>
        <w:jc w:val="both"/>
        <w:rPr>
          <w:rFonts w:eastAsiaTheme="minorEastAsia" w:cs="Times New Roman"/>
          <w:sz w:val="22"/>
        </w:rPr>
      </w:pPr>
      <w:r>
        <w:rPr>
          <w:rFonts w:cs="Times New Roman"/>
          <w:sz w:val="22"/>
        </w:rPr>
        <w:tab/>
      </w:r>
      <w:r w:rsidRPr="009E6561">
        <w:rPr>
          <w:rFonts w:cs="Times New Roman"/>
          <w:sz w:val="22"/>
          <w:lang w:val="en-US"/>
        </w:rPr>
        <w:t>Setelah dilakukan uji statistik deskriptif untuk mendapatkan gambaran mengenai keseluruhan data sampel penelitian, selanjutnya</w:t>
      </w:r>
      <w:r>
        <w:rPr>
          <w:rFonts w:cs="Times New Roman"/>
          <w:sz w:val="22"/>
        </w:rPr>
        <w:t xml:space="preserve"> melakukan pengujian hipotesis dengan menggunakan uji regresi logistik yang dilakukan dengan tahapan yaitu uji nilai </w:t>
      </w:r>
      <w:r>
        <w:rPr>
          <w:rFonts w:cs="Times New Roman"/>
          <w:i/>
          <w:sz w:val="22"/>
        </w:rPr>
        <w:t>likelihood</w:t>
      </w:r>
      <w:r>
        <w:rPr>
          <w:rFonts w:cs="Times New Roman"/>
          <w:sz w:val="22"/>
        </w:rPr>
        <w:t>, u</w:t>
      </w:r>
      <w:r w:rsidRPr="009E6561">
        <w:rPr>
          <w:rFonts w:cs="Times New Roman"/>
          <w:sz w:val="22"/>
        </w:rPr>
        <w:t xml:space="preserve">ji nilai </w:t>
      </w:r>
      <w:r w:rsidRPr="009E6561">
        <w:rPr>
          <w:rFonts w:cs="Times New Roman"/>
          <w:i/>
          <w:sz w:val="22"/>
        </w:rPr>
        <w:t>Hosmer and Lemeshow’s Goodness</w:t>
      </w:r>
      <w:r w:rsidRPr="009E6561">
        <w:rPr>
          <w:rFonts w:cs="Times New Roman"/>
          <w:i/>
          <w:sz w:val="22"/>
          <w:lang w:val="en-US"/>
        </w:rPr>
        <w:t xml:space="preserve"> </w:t>
      </w:r>
      <w:r w:rsidRPr="009E6561">
        <w:rPr>
          <w:rFonts w:cs="Times New Roman"/>
          <w:i/>
          <w:sz w:val="22"/>
        </w:rPr>
        <w:t>of Fit Test</w:t>
      </w:r>
      <w:r>
        <w:rPr>
          <w:rFonts w:cs="Times New Roman"/>
          <w:sz w:val="22"/>
        </w:rPr>
        <w:t>, u</w:t>
      </w:r>
      <w:r w:rsidRPr="009E6561">
        <w:rPr>
          <w:rFonts w:cs="Times New Roman"/>
          <w:sz w:val="22"/>
        </w:rPr>
        <w:t xml:space="preserve">ji nilai </w:t>
      </w:r>
      <w:r w:rsidRPr="009E6561">
        <w:rPr>
          <w:rFonts w:cs="Times New Roman"/>
          <w:i/>
          <w:sz w:val="22"/>
        </w:rPr>
        <w:t xml:space="preserve">Nagelkerke </w:t>
      </w:r>
      <m:oMath>
        <m:sSup>
          <m:sSupPr>
            <m:ctrlPr>
              <w:rPr>
                <w:rFonts w:ascii="Cambria Math" w:hAnsi="Cambria Math" w:cs="Times New Roman"/>
                <w:i/>
                <w:sz w:val="22"/>
              </w:rPr>
            </m:ctrlPr>
          </m:sSupPr>
          <m:e>
            <m:r>
              <w:rPr>
                <w:rFonts w:ascii="Cambria Math" w:hAnsi="Cambria Math" w:cs="Times New Roman"/>
                <w:sz w:val="22"/>
              </w:rPr>
              <m:t>R</m:t>
            </m:r>
          </m:e>
          <m:sup>
            <m:r>
              <w:rPr>
                <w:rFonts w:ascii="Cambria Math" w:hAnsi="Cambria Math" w:cs="Times New Roman"/>
                <w:sz w:val="22"/>
              </w:rPr>
              <m:t>2</m:t>
            </m:r>
          </m:sup>
        </m:sSup>
      </m:oMath>
      <w:r>
        <w:rPr>
          <w:rFonts w:eastAsiaTheme="minorEastAsia" w:cs="Times New Roman"/>
          <w:sz w:val="22"/>
        </w:rPr>
        <w:t xml:space="preserve">, uji signifikansi parsial (uji t), serta uji signifikansi simultan (uji F). </w:t>
      </w:r>
      <w:r w:rsidR="005B01A0" w:rsidRPr="005B01A0">
        <w:rPr>
          <w:rFonts w:cs="Times New Roman"/>
          <w:sz w:val="22"/>
        </w:rPr>
        <w:t>Penelitian ini menguji pengaruh</w:t>
      </w:r>
      <w:r w:rsidR="005B01A0">
        <w:rPr>
          <w:rFonts w:cs="Times New Roman"/>
          <w:sz w:val="22"/>
        </w:rPr>
        <w:t xml:space="preserve"> l</w:t>
      </w:r>
      <w:r w:rsidR="005B01A0" w:rsidRPr="005B01A0">
        <w:rPr>
          <w:rFonts w:cs="Times New Roman"/>
          <w:sz w:val="22"/>
        </w:rPr>
        <w:t xml:space="preserve">ikuiditas, </w:t>
      </w:r>
      <w:r w:rsidR="005B01A0" w:rsidRPr="005B01A0">
        <w:rPr>
          <w:rFonts w:cs="Times New Roman"/>
          <w:i/>
          <w:sz w:val="22"/>
        </w:rPr>
        <w:t>leverage</w:t>
      </w:r>
      <w:r w:rsidR="005B01A0" w:rsidRPr="005B01A0">
        <w:rPr>
          <w:rFonts w:cs="Times New Roman"/>
          <w:sz w:val="22"/>
        </w:rPr>
        <w:t xml:space="preserve">, </w:t>
      </w:r>
      <w:r w:rsidR="005B01A0" w:rsidRPr="005B01A0">
        <w:rPr>
          <w:rFonts w:cs="Times New Roman"/>
          <w:i/>
          <w:sz w:val="22"/>
        </w:rPr>
        <w:t>coverage</w:t>
      </w:r>
      <w:r w:rsidR="005B01A0" w:rsidRPr="005B01A0">
        <w:rPr>
          <w:rFonts w:cs="Times New Roman"/>
          <w:sz w:val="22"/>
        </w:rPr>
        <w:t>,</w:t>
      </w:r>
      <w:r w:rsidR="005B01A0" w:rsidRPr="005B01A0">
        <w:rPr>
          <w:rFonts w:cs="Times New Roman"/>
          <w:i/>
          <w:sz w:val="22"/>
        </w:rPr>
        <w:t xml:space="preserve"> cash low to debt</w:t>
      </w:r>
      <w:r w:rsidR="005B01A0" w:rsidRPr="005B01A0">
        <w:rPr>
          <w:rFonts w:cs="Times New Roman"/>
          <w:sz w:val="22"/>
        </w:rPr>
        <w:t>, profitabilitas dan umur obligasi</w:t>
      </w:r>
      <w:r w:rsidR="005B01A0">
        <w:rPr>
          <w:rFonts w:cs="Times New Roman"/>
          <w:sz w:val="22"/>
        </w:rPr>
        <w:t xml:space="preserve"> </w:t>
      </w:r>
      <w:r w:rsidR="005B01A0" w:rsidRPr="005B01A0">
        <w:rPr>
          <w:rFonts w:cs="Times New Roman"/>
          <w:sz w:val="22"/>
        </w:rPr>
        <w:t>terhadap peringkat obligasi. Secara matematis, model dalam penelitian ini adalah</w:t>
      </w:r>
      <w:r w:rsidR="005B01A0">
        <w:rPr>
          <w:rFonts w:cs="Times New Roman"/>
          <w:sz w:val="22"/>
        </w:rPr>
        <w:t xml:space="preserve"> </w:t>
      </w:r>
      <w:r w:rsidR="005B01A0" w:rsidRPr="005B01A0">
        <w:rPr>
          <w:rFonts w:cs="Times New Roman"/>
          <w:sz w:val="22"/>
        </w:rPr>
        <w:t>sebagai berikut:</w:t>
      </w:r>
    </w:p>
    <w:p w:rsidR="005B01A0" w:rsidRPr="005B01A0" w:rsidRDefault="005B01A0" w:rsidP="0098783B">
      <w:pPr>
        <w:spacing w:line="360" w:lineRule="auto"/>
        <w:ind w:left="0" w:firstLine="0"/>
        <w:jc w:val="center"/>
        <w:rPr>
          <w:rFonts w:cs="Times New Roman"/>
          <w:sz w:val="22"/>
        </w:rPr>
      </w:pPr>
      <w:r w:rsidRPr="005B01A0">
        <w:rPr>
          <w:rFonts w:cs="Times New Roman"/>
          <w:sz w:val="22"/>
        </w:rPr>
        <w:t>PERINGKAT = βo + β1X1 + β2X2 + β3X3 + β4X4 + β5X5 + β6X6  +  e</w:t>
      </w:r>
    </w:p>
    <w:p w:rsidR="005B01A0" w:rsidRPr="005B01A0" w:rsidRDefault="005B01A0" w:rsidP="0098783B">
      <w:pPr>
        <w:spacing w:line="360" w:lineRule="auto"/>
        <w:ind w:left="0" w:firstLine="0"/>
        <w:jc w:val="both"/>
        <w:rPr>
          <w:rFonts w:cs="Times New Roman"/>
          <w:sz w:val="22"/>
        </w:rPr>
      </w:pPr>
      <w:r w:rsidRPr="005B01A0">
        <w:rPr>
          <w:rFonts w:cs="Times New Roman"/>
          <w:sz w:val="22"/>
        </w:rPr>
        <w:t>Keterangan:</w:t>
      </w:r>
    </w:p>
    <w:p w:rsidR="009E6561" w:rsidRPr="00C201F2" w:rsidRDefault="005B01A0" w:rsidP="00C201F2">
      <w:pPr>
        <w:spacing w:line="360" w:lineRule="auto"/>
        <w:ind w:left="0" w:firstLine="0"/>
        <w:jc w:val="both"/>
        <w:rPr>
          <w:rFonts w:cs="Times New Roman"/>
          <w:sz w:val="22"/>
        </w:rPr>
      </w:pPr>
      <w:r w:rsidRPr="005B01A0">
        <w:rPr>
          <w:rFonts w:cs="Times New Roman"/>
          <w:sz w:val="22"/>
        </w:rPr>
        <w:t>PERINGKAT</w:t>
      </w:r>
      <w:r>
        <w:rPr>
          <w:rFonts w:cs="Times New Roman"/>
          <w:sz w:val="22"/>
        </w:rPr>
        <w:t xml:space="preserve"> </w:t>
      </w:r>
      <w:r w:rsidRPr="005B01A0">
        <w:rPr>
          <w:rFonts w:cs="Times New Roman"/>
          <w:sz w:val="22"/>
        </w:rPr>
        <w:t>= Peringkat obligasi</w:t>
      </w:r>
      <w:r>
        <w:rPr>
          <w:rFonts w:cs="Times New Roman"/>
          <w:sz w:val="22"/>
        </w:rPr>
        <w:t xml:space="preserve">; </w:t>
      </w:r>
      <w:r w:rsidRPr="005B01A0">
        <w:rPr>
          <w:rFonts w:cs="Times New Roman"/>
          <w:sz w:val="22"/>
        </w:rPr>
        <w:t>βo</w:t>
      </w:r>
      <w:r w:rsidRPr="005B01A0">
        <w:rPr>
          <w:rFonts w:cs="Times New Roman"/>
          <w:sz w:val="22"/>
        </w:rPr>
        <w:tab/>
      </w:r>
      <w:r>
        <w:rPr>
          <w:rFonts w:cs="Times New Roman"/>
          <w:sz w:val="22"/>
        </w:rPr>
        <w:t xml:space="preserve"> </w:t>
      </w:r>
      <w:r w:rsidRPr="005B01A0">
        <w:rPr>
          <w:rFonts w:cs="Times New Roman"/>
          <w:sz w:val="22"/>
        </w:rPr>
        <w:t>= Konstanta</w:t>
      </w:r>
      <w:r>
        <w:rPr>
          <w:rFonts w:cs="Times New Roman"/>
          <w:sz w:val="22"/>
        </w:rPr>
        <w:t xml:space="preserve">; β1–6 = </w:t>
      </w:r>
      <w:r w:rsidRPr="005B01A0">
        <w:rPr>
          <w:rFonts w:cs="Times New Roman"/>
          <w:sz w:val="22"/>
        </w:rPr>
        <w:t>Koefesien regresi</w:t>
      </w:r>
      <w:r>
        <w:rPr>
          <w:rFonts w:cs="Times New Roman"/>
          <w:sz w:val="22"/>
        </w:rPr>
        <w:t xml:space="preserve">; X1 </w:t>
      </w:r>
      <w:r w:rsidRPr="005B01A0">
        <w:rPr>
          <w:rFonts w:cs="Times New Roman"/>
          <w:sz w:val="22"/>
        </w:rPr>
        <w:t>= Rasio Likuiditas (CR)</w:t>
      </w:r>
      <w:r>
        <w:rPr>
          <w:rFonts w:cs="Times New Roman"/>
          <w:sz w:val="22"/>
        </w:rPr>
        <w:t xml:space="preserve">; X2 </w:t>
      </w:r>
      <w:r w:rsidRPr="005B01A0">
        <w:rPr>
          <w:rFonts w:cs="Times New Roman"/>
          <w:sz w:val="22"/>
        </w:rPr>
        <w:t xml:space="preserve">= Rasio </w:t>
      </w:r>
      <w:r w:rsidRPr="005B01A0">
        <w:rPr>
          <w:rFonts w:cs="Times New Roman"/>
          <w:i/>
          <w:sz w:val="22"/>
        </w:rPr>
        <w:t>Leverage</w:t>
      </w:r>
      <w:r w:rsidRPr="005B01A0">
        <w:rPr>
          <w:rFonts w:cs="Times New Roman"/>
          <w:sz w:val="22"/>
        </w:rPr>
        <w:t xml:space="preserve"> (DER)</w:t>
      </w:r>
      <w:r>
        <w:rPr>
          <w:rFonts w:cs="Times New Roman"/>
          <w:sz w:val="22"/>
        </w:rPr>
        <w:t xml:space="preserve">; </w:t>
      </w:r>
      <w:r w:rsidR="00AC089B">
        <w:rPr>
          <w:rFonts w:cs="Times New Roman"/>
          <w:sz w:val="22"/>
        </w:rPr>
        <w:t xml:space="preserve">X3 </w:t>
      </w:r>
      <w:r w:rsidRPr="005B01A0">
        <w:rPr>
          <w:rFonts w:cs="Times New Roman"/>
          <w:sz w:val="22"/>
        </w:rPr>
        <w:t xml:space="preserve">= Rasio </w:t>
      </w:r>
      <w:r w:rsidRPr="005B01A0">
        <w:rPr>
          <w:rFonts w:cs="Times New Roman"/>
          <w:i/>
          <w:sz w:val="22"/>
        </w:rPr>
        <w:t>Coverage</w:t>
      </w:r>
      <w:r w:rsidRPr="005B01A0">
        <w:rPr>
          <w:rFonts w:cs="Times New Roman"/>
          <w:sz w:val="22"/>
        </w:rPr>
        <w:t xml:space="preserve"> (TIE)</w:t>
      </w:r>
      <w:r>
        <w:rPr>
          <w:rFonts w:cs="Times New Roman"/>
          <w:sz w:val="22"/>
        </w:rPr>
        <w:t xml:space="preserve">; X4 </w:t>
      </w:r>
      <w:r w:rsidRPr="005B01A0">
        <w:rPr>
          <w:rFonts w:cs="Times New Roman"/>
          <w:sz w:val="22"/>
        </w:rPr>
        <w:t xml:space="preserve">= Rasio </w:t>
      </w:r>
      <w:r w:rsidRPr="005B01A0">
        <w:rPr>
          <w:rFonts w:cs="Times New Roman"/>
          <w:i/>
          <w:sz w:val="22"/>
        </w:rPr>
        <w:t>Cash flow to debt</w:t>
      </w:r>
      <w:r>
        <w:rPr>
          <w:rFonts w:cs="Times New Roman"/>
          <w:sz w:val="22"/>
        </w:rPr>
        <w:t xml:space="preserve">; X5 </w:t>
      </w:r>
      <w:r w:rsidRPr="005B01A0">
        <w:rPr>
          <w:rFonts w:cs="Times New Roman"/>
          <w:sz w:val="22"/>
        </w:rPr>
        <w:t>= Rasio Profitabilitas (ROA)</w:t>
      </w:r>
      <w:r>
        <w:rPr>
          <w:rFonts w:cs="Times New Roman"/>
          <w:sz w:val="22"/>
        </w:rPr>
        <w:t xml:space="preserve">; </w:t>
      </w:r>
      <w:r w:rsidR="00AC089B">
        <w:rPr>
          <w:rFonts w:cs="Times New Roman"/>
          <w:sz w:val="22"/>
        </w:rPr>
        <w:t xml:space="preserve">X6 </w:t>
      </w:r>
      <w:r>
        <w:rPr>
          <w:rFonts w:cs="Times New Roman"/>
          <w:sz w:val="22"/>
        </w:rPr>
        <w:t xml:space="preserve">= </w:t>
      </w:r>
      <w:r w:rsidRPr="005B01A0">
        <w:rPr>
          <w:rFonts w:cs="Times New Roman"/>
          <w:sz w:val="22"/>
        </w:rPr>
        <w:t>Umur obligasi</w:t>
      </w:r>
      <w:r>
        <w:rPr>
          <w:rFonts w:cs="Times New Roman"/>
          <w:sz w:val="22"/>
        </w:rPr>
        <w:t xml:space="preserve">; e = </w:t>
      </w:r>
      <w:r w:rsidRPr="005B01A0">
        <w:rPr>
          <w:rFonts w:cs="Times New Roman"/>
          <w:sz w:val="22"/>
        </w:rPr>
        <w:t>Standard Error</w:t>
      </w:r>
      <w:r>
        <w:rPr>
          <w:rFonts w:cs="Times New Roman"/>
          <w:sz w:val="22"/>
        </w:rPr>
        <w:t>.</w:t>
      </w:r>
    </w:p>
    <w:p w:rsidR="005B01A0" w:rsidRPr="00881F5A" w:rsidRDefault="00AC089B" w:rsidP="00881F5A">
      <w:pPr>
        <w:spacing w:line="360" w:lineRule="auto"/>
        <w:ind w:left="0" w:firstLine="1"/>
        <w:rPr>
          <w:rFonts w:cs="Times New Roman"/>
          <w:b/>
          <w:szCs w:val="24"/>
        </w:rPr>
      </w:pPr>
      <w:r w:rsidRPr="001E469A">
        <w:rPr>
          <w:rFonts w:cs="Times New Roman"/>
          <w:b/>
          <w:sz w:val="22"/>
        </w:rPr>
        <w:t xml:space="preserve">4. </w:t>
      </w:r>
      <w:r w:rsidR="00AE4427" w:rsidRPr="001E469A">
        <w:rPr>
          <w:rFonts w:cs="Times New Roman"/>
          <w:b/>
          <w:sz w:val="22"/>
        </w:rPr>
        <w:t>HASIL DAN PEMBAHASAN</w:t>
      </w:r>
    </w:p>
    <w:p w:rsidR="00AC089B" w:rsidRDefault="00D56A55" w:rsidP="00AC089B">
      <w:pPr>
        <w:spacing w:line="360" w:lineRule="auto"/>
        <w:ind w:left="0" w:firstLine="0"/>
        <w:jc w:val="both"/>
        <w:rPr>
          <w:rFonts w:cs="Times New Roman"/>
          <w:i/>
          <w:sz w:val="22"/>
        </w:rPr>
      </w:pPr>
      <w:r w:rsidRPr="00AC089B">
        <w:rPr>
          <w:rFonts w:cs="Times New Roman"/>
          <w:i/>
          <w:sz w:val="22"/>
        </w:rPr>
        <w:t xml:space="preserve">4.1 </w:t>
      </w:r>
      <w:r w:rsidR="00AC089B">
        <w:rPr>
          <w:rFonts w:cs="Times New Roman"/>
          <w:i/>
          <w:sz w:val="22"/>
        </w:rPr>
        <w:t>Hasil Penelitian</w:t>
      </w:r>
    </w:p>
    <w:p w:rsidR="004E069D" w:rsidRDefault="00AC089B" w:rsidP="002B1F3A">
      <w:pPr>
        <w:pStyle w:val="ListParagraph"/>
        <w:numPr>
          <w:ilvl w:val="0"/>
          <w:numId w:val="14"/>
        </w:numPr>
        <w:spacing w:line="360" w:lineRule="auto"/>
        <w:ind w:left="426" w:hanging="426"/>
        <w:jc w:val="both"/>
        <w:rPr>
          <w:rFonts w:cs="Times New Roman"/>
          <w:i/>
          <w:sz w:val="22"/>
        </w:rPr>
      </w:pPr>
      <w:r>
        <w:rPr>
          <w:rFonts w:cs="Times New Roman"/>
          <w:i/>
          <w:sz w:val="22"/>
        </w:rPr>
        <w:t>Statistik Deskriptif</w:t>
      </w:r>
    </w:p>
    <w:p w:rsidR="002B1F3A" w:rsidRPr="002B1F3A" w:rsidRDefault="002B1F3A" w:rsidP="002B1F3A">
      <w:pPr>
        <w:spacing w:line="360" w:lineRule="auto"/>
        <w:ind w:left="0"/>
        <w:jc w:val="center"/>
        <w:rPr>
          <w:rFonts w:cs="Times New Roman"/>
          <w:sz w:val="22"/>
        </w:rPr>
      </w:pPr>
      <w:r>
        <w:rPr>
          <w:rFonts w:cs="Times New Roman"/>
          <w:sz w:val="22"/>
        </w:rPr>
        <w:t>Tabel 4.1</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49"/>
        <w:gridCol w:w="1419"/>
        <w:gridCol w:w="283"/>
        <w:gridCol w:w="193"/>
        <w:gridCol w:w="1512"/>
        <w:gridCol w:w="1130"/>
        <w:gridCol w:w="311"/>
        <w:gridCol w:w="1532"/>
        <w:gridCol w:w="1843"/>
      </w:tblGrid>
      <w:tr w:rsidR="00EC7370" w:rsidRPr="003B26AA" w:rsidTr="002B1F3A">
        <w:trPr>
          <w:cantSplit/>
        </w:trPr>
        <w:tc>
          <w:tcPr>
            <w:tcW w:w="9072" w:type="dxa"/>
            <w:gridSpan w:val="9"/>
            <w:tcBorders>
              <w:top w:val="nil"/>
              <w:left w:val="nil"/>
              <w:bottom w:val="nil"/>
              <w:right w:val="nil"/>
            </w:tcBorders>
            <w:shd w:val="clear" w:color="auto" w:fill="FFFFFF"/>
            <w:vAlign w:val="center"/>
            <w:hideMark/>
          </w:tcPr>
          <w:p w:rsidR="00EC7370" w:rsidRPr="00EC7370" w:rsidRDefault="00EC7370" w:rsidP="002B1F3A">
            <w:pPr>
              <w:spacing w:line="360" w:lineRule="auto"/>
              <w:ind w:left="60" w:right="60" w:firstLine="0"/>
              <w:jc w:val="center"/>
              <w:rPr>
                <w:rFonts w:ascii="Arial" w:eastAsia="Calibri" w:hAnsi="Arial" w:cs="Arial"/>
                <w:b/>
                <w:bCs/>
                <w:sz w:val="18"/>
                <w:szCs w:val="18"/>
                <w:lang w:val="en-US"/>
              </w:rPr>
            </w:pPr>
            <w:r w:rsidRPr="00EC7370">
              <w:rPr>
                <w:rFonts w:ascii="Arial" w:eastAsia="Calibri" w:hAnsi="Arial" w:cs="Arial"/>
                <w:b/>
                <w:bCs/>
                <w:sz w:val="18"/>
                <w:szCs w:val="18"/>
                <w:lang w:val="en-US"/>
              </w:rPr>
              <w:t>Descriptive Statistics</w:t>
            </w:r>
          </w:p>
        </w:tc>
      </w:tr>
      <w:tr w:rsidR="002B1F3A" w:rsidRPr="003B26AA" w:rsidTr="002B1F3A">
        <w:tblPrEx>
          <w:tblLook w:val="0000" w:firstRow="0" w:lastRow="0" w:firstColumn="0" w:lastColumn="0" w:noHBand="0" w:noVBand="0"/>
        </w:tblPrEx>
        <w:trPr>
          <w:cantSplit/>
          <w:trHeight w:val="182"/>
        </w:trPr>
        <w:tc>
          <w:tcPr>
            <w:tcW w:w="2268"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EC7370" w:rsidRPr="003B26AA" w:rsidRDefault="00EC7370" w:rsidP="00EC7370">
            <w:pPr>
              <w:spacing w:line="240" w:lineRule="auto"/>
              <w:jc w:val="center"/>
              <w:rPr>
                <w:rFonts w:ascii="Arial" w:hAnsi="Arial" w:cs="Arial"/>
                <w:sz w:val="18"/>
                <w:szCs w:val="18"/>
              </w:rPr>
            </w:pPr>
          </w:p>
        </w:tc>
        <w:tc>
          <w:tcPr>
            <w:tcW w:w="476" w:type="dxa"/>
            <w:gridSpan w:val="2"/>
            <w:tcBorders>
              <w:top w:val="single" w:sz="16" w:space="0" w:color="000000"/>
              <w:left w:val="single" w:sz="16" w:space="0" w:color="000000"/>
              <w:bottom w:val="single" w:sz="16" w:space="0" w:color="000000"/>
            </w:tcBorders>
            <w:shd w:val="clear" w:color="auto" w:fill="FFFFFF"/>
            <w:vAlign w:val="bottom"/>
          </w:tcPr>
          <w:p w:rsidR="00EC7370" w:rsidRPr="003B26AA" w:rsidRDefault="00EC7370" w:rsidP="00EC7370">
            <w:pPr>
              <w:spacing w:line="240" w:lineRule="auto"/>
              <w:ind w:left="0"/>
              <w:jc w:val="center"/>
              <w:rPr>
                <w:rFonts w:ascii="Arial" w:hAnsi="Arial" w:cs="Arial"/>
                <w:sz w:val="18"/>
                <w:szCs w:val="18"/>
              </w:rPr>
            </w:pPr>
            <w:r w:rsidRPr="003B26AA">
              <w:rPr>
                <w:rFonts w:ascii="Arial" w:hAnsi="Arial" w:cs="Arial"/>
                <w:sz w:val="18"/>
                <w:szCs w:val="18"/>
              </w:rPr>
              <w:t>N</w:t>
            </w:r>
          </w:p>
        </w:tc>
        <w:tc>
          <w:tcPr>
            <w:tcW w:w="1512" w:type="dxa"/>
            <w:tcBorders>
              <w:top w:val="single" w:sz="16" w:space="0" w:color="000000"/>
              <w:bottom w:val="single" w:sz="16" w:space="0" w:color="000000"/>
            </w:tcBorders>
            <w:shd w:val="clear" w:color="auto" w:fill="FFFFFF"/>
            <w:vAlign w:val="bottom"/>
          </w:tcPr>
          <w:p w:rsidR="00EC7370" w:rsidRPr="003B26AA" w:rsidRDefault="00EC7370" w:rsidP="00EC7370">
            <w:pPr>
              <w:spacing w:line="240" w:lineRule="auto"/>
              <w:ind w:left="0" w:firstLine="0"/>
              <w:jc w:val="center"/>
              <w:rPr>
                <w:rFonts w:ascii="Arial" w:hAnsi="Arial" w:cs="Arial"/>
                <w:sz w:val="18"/>
                <w:szCs w:val="18"/>
              </w:rPr>
            </w:pPr>
            <w:r w:rsidRPr="003B26AA">
              <w:rPr>
                <w:rFonts w:ascii="Arial" w:hAnsi="Arial" w:cs="Arial"/>
                <w:sz w:val="18"/>
                <w:szCs w:val="18"/>
              </w:rPr>
              <w:t>Minimum</w:t>
            </w:r>
          </w:p>
        </w:tc>
        <w:tc>
          <w:tcPr>
            <w:tcW w:w="1441" w:type="dxa"/>
            <w:gridSpan w:val="2"/>
            <w:tcBorders>
              <w:top w:val="single" w:sz="16" w:space="0" w:color="000000"/>
              <w:bottom w:val="single" w:sz="16" w:space="0" w:color="000000"/>
            </w:tcBorders>
            <w:shd w:val="clear" w:color="auto" w:fill="FFFFFF"/>
            <w:vAlign w:val="bottom"/>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Maximum</w:t>
            </w:r>
          </w:p>
        </w:tc>
        <w:tc>
          <w:tcPr>
            <w:tcW w:w="1532" w:type="dxa"/>
            <w:tcBorders>
              <w:top w:val="single" w:sz="16" w:space="0" w:color="000000"/>
              <w:bottom w:val="single" w:sz="16" w:space="0" w:color="000000"/>
            </w:tcBorders>
            <w:shd w:val="clear" w:color="auto" w:fill="FFFFFF"/>
            <w:vAlign w:val="bottom"/>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Mean</w:t>
            </w:r>
          </w:p>
        </w:tc>
        <w:tc>
          <w:tcPr>
            <w:tcW w:w="1843" w:type="dxa"/>
            <w:tcBorders>
              <w:top w:val="single" w:sz="16" w:space="0" w:color="000000"/>
              <w:bottom w:val="single" w:sz="16" w:space="0" w:color="000000"/>
              <w:right w:val="single" w:sz="16" w:space="0" w:color="000000"/>
            </w:tcBorders>
            <w:shd w:val="clear" w:color="auto" w:fill="FFFFFF"/>
            <w:vAlign w:val="bottom"/>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Std. Deviation</w:t>
            </w:r>
          </w:p>
        </w:tc>
      </w:tr>
      <w:tr w:rsidR="002B1F3A" w:rsidRPr="003B26AA" w:rsidTr="002B1F3A">
        <w:tblPrEx>
          <w:tblLook w:val="0000" w:firstRow="0" w:lastRow="0" w:firstColumn="0" w:lastColumn="0" w:noHBand="0" w:noVBand="0"/>
        </w:tblPrEx>
        <w:trPr>
          <w:cantSplit/>
          <w:trHeight w:val="343"/>
        </w:trPr>
        <w:tc>
          <w:tcPr>
            <w:tcW w:w="2268" w:type="dxa"/>
            <w:gridSpan w:val="2"/>
            <w:tcBorders>
              <w:top w:val="single" w:sz="16" w:space="0" w:color="000000"/>
              <w:left w:val="single" w:sz="16" w:space="0" w:color="000000"/>
              <w:bottom w:val="nil"/>
              <w:right w:val="single" w:sz="16" w:space="0" w:color="000000"/>
            </w:tcBorders>
            <w:shd w:val="clear" w:color="auto" w:fill="FFFFFF"/>
          </w:tcPr>
          <w:p w:rsidR="00EC7370" w:rsidRPr="003B26AA" w:rsidRDefault="00EC7370" w:rsidP="002B1F3A">
            <w:pPr>
              <w:spacing w:line="240" w:lineRule="auto"/>
              <w:ind w:left="0" w:firstLine="0"/>
              <w:rPr>
                <w:rFonts w:ascii="Arial" w:hAnsi="Arial" w:cs="Arial"/>
                <w:sz w:val="18"/>
                <w:szCs w:val="18"/>
              </w:rPr>
            </w:pPr>
            <w:r w:rsidRPr="003B26AA">
              <w:rPr>
                <w:rFonts w:ascii="Arial" w:hAnsi="Arial" w:cs="Arial"/>
                <w:sz w:val="18"/>
                <w:szCs w:val="18"/>
              </w:rPr>
              <w:t>Rasio Likuiditas</w:t>
            </w:r>
          </w:p>
        </w:tc>
        <w:tc>
          <w:tcPr>
            <w:tcW w:w="476" w:type="dxa"/>
            <w:gridSpan w:val="2"/>
            <w:tcBorders>
              <w:top w:val="single" w:sz="16" w:space="0" w:color="000000"/>
              <w:left w:val="single" w:sz="16" w:space="0" w:color="000000"/>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60</w:t>
            </w:r>
          </w:p>
        </w:tc>
        <w:tc>
          <w:tcPr>
            <w:tcW w:w="1512" w:type="dxa"/>
            <w:tcBorders>
              <w:top w:val="single" w:sz="16" w:space="0" w:color="000000"/>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,40</w:t>
            </w:r>
          </w:p>
        </w:tc>
        <w:tc>
          <w:tcPr>
            <w:tcW w:w="1441" w:type="dxa"/>
            <w:gridSpan w:val="2"/>
            <w:tcBorders>
              <w:top w:val="single" w:sz="16" w:space="0" w:color="000000"/>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222,00</w:t>
            </w:r>
          </w:p>
        </w:tc>
        <w:tc>
          <w:tcPr>
            <w:tcW w:w="1532" w:type="dxa"/>
            <w:tcBorders>
              <w:top w:val="single" w:sz="16" w:space="0" w:color="000000"/>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51,3270</w:t>
            </w:r>
          </w:p>
        </w:tc>
        <w:tc>
          <w:tcPr>
            <w:tcW w:w="1843" w:type="dxa"/>
            <w:tcBorders>
              <w:top w:val="single" w:sz="16" w:space="0" w:color="000000"/>
              <w:bottom w:val="nil"/>
              <w:right w:val="single" w:sz="16" w:space="0" w:color="000000"/>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63,41905</w:t>
            </w:r>
          </w:p>
        </w:tc>
      </w:tr>
      <w:tr w:rsidR="002B1F3A" w:rsidRPr="003B26AA" w:rsidTr="002B1F3A">
        <w:tblPrEx>
          <w:tblLook w:val="0000" w:firstRow="0" w:lastRow="0" w:firstColumn="0" w:lastColumn="0" w:noHBand="0" w:noVBand="0"/>
        </w:tblPrEx>
        <w:trPr>
          <w:cantSplit/>
          <w:trHeight w:val="288"/>
        </w:trPr>
        <w:tc>
          <w:tcPr>
            <w:tcW w:w="2268" w:type="dxa"/>
            <w:gridSpan w:val="2"/>
            <w:tcBorders>
              <w:top w:val="nil"/>
              <w:left w:val="single" w:sz="16" w:space="0" w:color="000000"/>
              <w:bottom w:val="nil"/>
              <w:right w:val="single" w:sz="16" w:space="0" w:color="000000"/>
            </w:tcBorders>
            <w:shd w:val="clear" w:color="auto" w:fill="FFFFFF"/>
          </w:tcPr>
          <w:p w:rsidR="00EC7370" w:rsidRPr="003B26AA" w:rsidRDefault="00EC7370" w:rsidP="002B1F3A">
            <w:pPr>
              <w:spacing w:line="240" w:lineRule="auto"/>
              <w:ind w:left="0" w:firstLine="0"/>
              <w:rPr>
                <w:rFonts w:ascii="Arial" w:hAnsi="Arial" w:cs="Arial"/>
                <w:sz w:val="18"/>
                <w:szCs w:val="18"/>
              </w:rPr>
            </w:pPr>
            <w:r w:rsidRPr="003B26AA">
              <w:rPr>
                <w:rFonts w:ascii="Arial" w:hAnsi="Arial" w:cs="Arial"/>
                <w:sz w:val="18"/>
                <w:szCs w:val="18"/>
              </w:rPr>
              <w:t>Rasio Leverage</w:t>
            </w:r>
          </w:p>
        </w:tc>
        <w:tc>
          <w:tcPr>
            <w:tcW w:w="476" w:type="dxa"/>
            <w:gridSpan w:val="2"/>
            <w:tcBorders>
              <w:top w:val="nil"/>
              <w:left w:val="single" w:sz="16" w:space="0" w:color="000000"/>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60</w:t>
            </w:r>
          </w:p>
        </w:tc>
        <w:tc>
          <w:tcPr>
            <w:tcW w:w="151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-145,47</w:t>
            </w:r>
          </w:p>
        </w:tc>
        <w:tc>
          <w:tcPr>
            <w:tcW w:w="1441" w:type="dxa"/>
            <w:gridSpan w:val="2"/>
            <w:tcBorders>
              <w:top w:val="nil"/>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420,20</w:t>
            </w:r>
          </w:p>
        </w:tc>
        <w:tc>
          <w:tcPr>
            <w:tcW w:w="153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102,5773</w:t>
            </w:r>
          </w:p>
        </w:tc>
        <w:tc>
          <w:tcPr>
            <w:tcW w:w="1843" w:type="dxa"/>
            <w:tcBorders>
              <w:top w:val="nil"/>
              <w:bottom w:val="nil"/>
              <w:right w:val="single" w:sz="16" w:space="0" w:color="000000"/>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98,42297</w:t>
            </w:r>
          </w:p>
        </w:tc>
      </w:tr>
      <w:tr w:rsidR="002B1F3A" w:rsidRPr="003B26AA" w:rsidTr="002B1F3A">
        <w:tblPrEx>
          <w:tblLook w:val="0000" w:firstRow="0" w:lastRow="0" w:firstColumn="0" w:lastColumn="0" w:noHBand="0" w:noVBand="0"/>
        </w:tblPrEx>
        <w:trPr>
          <w:cantSplit/>
          <w:trHeight w:val="279"/>
        </w:trPr>
        <w:tc>
          <w:tcPr>
            <w:tcW w:w="2268" w:type="dxa"/>
            <w:gridSpan w:val="2"/>
            <w:tcBorders>
              <w:top w:val="nil"/>
              <w:left w:val="single" w:sz="16" w:space="0" w:color="000000"/>
              <w:bottom w:val="nil"/>
              <w:right w:val="single" w:sz="16" w:space="0" w:color="000000"/>
            </w:tcBorders>
            <w:shd w:val="clear" w:color="auto" w:fill="FFFFFF"/>
          </w:tcPr>
          <w:p w:rsidR="00EC7370" w:rsidRPr="003B26AA" w:rsidRDefault="00EC7370" w:rsidP="002B1F3A">
            <w:pPr>
              <w:spacing w:line="240" w:lineRule="auto"/>
              <w:ind w:left="0" w:firstLine="0"/>
              <w:rPr>
                <w:rFonts w:ascii="Arial" w:hAnsi="Arial" w:cs="Arial"/>
                <w:sz w:val="18"/>
                <w:szCs w:val="18"/>
              </w:rPr>
            </w:pPr>
            <w:r w:rsidRPr="003B26AA">
              <w:rPr>
                <w:rFonts w:ascii="Arial" w:hAnsi="Arial" w:cs="Arial"/>
                <w:sz w:val="18"/>
                <w:szCs w:val="18"/>
              </w:rPr>
              <w:t>Rasio Coverage</w:t>
            </w:r>
          </w:p>
        </w:tc>
        <w:tc>
          <w:tcPr>
            <w:tcW w:w="476" w:type="dxa"/>
            <w:gridSpan w:val="2"/>
            <w:tcBorders>
              <w:top w:val="nil"/>
              <w:left w:val="single" w:sz="16" w:space="0" w:color="000000"/>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60</w:t>
            </w:r>
          </w:p>
        </w:tc>
        <w:tc>
          <w:tcPr>
            <w:tcW w:w="151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-274,00</w:t>
            </w:r>
          </w:p>
        </w:tc>
        <w:tc>
          <w:tcPr>
            <w:tcW w:w="1441" w:type="dxa"/>
            <w:gridSpan w:val="2"/>
            <w:tcBorders>
              <w:top w:val="nil"/>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603,36</w:t>
            </w:r>
          </w:p>
        </w:tc>
        <w:tc>
          <w:tcPr>
            <w:tcW w:w="153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50,3753</w:t>
            </w:r>
          </w:p>
        </w:tc>
        <w:tc>
          <w:tcPr>
            <w:tcW w:w="1843" w:type="dxa"/>
            <w:tcBorders>
              <w:top w:val="nil"/>
              <w:bottom w:val="nil"/>
              <w:right w:val="single" w:sz="16" w:space="0" w:color="000000"/>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116,79240</w:t>
            </w:r>
          </w:p>
        </w:tc>
      </w:tr>
      <w:tr w:rsidR="002B1F3A" w:rsidRPr="003B26AA" w:rsidTr="002B1F3A">
        <w:tblPrEx>
          <w:tblLook w:val="0000" w:firstRow="0" w:lastRow="0" w:firstColumn="0" w:lastColumn="0" w:noHBand="0" w:noVBand="0"/>
        </w:tblPrEx>
        <w:trPr>
          <w:cantSplit/>
          <w:trHeight w:val="283"/>
        </w:trPr>
        <w:tc>
          <w:tcPr>
            <w:tcW w:w="2268" w:type="dxa"/>
            <w:gridSpan w:val="2"/>
            <w:tcBorders>
              <w:top w:val="nil"/>
              <w:left w:val="single" w:sz="16" w:space="0" w:color="000000"/>
              <w:bottom w:val="nil"/>
              <w:right w:val="single" w:sz="16" w:space="0" w:color="000000"/>
            </w:tcBorders>
            <w:shd w:val="clear" w:color="auto" w:fill="FFFFFF"/>
          </w:tcPr>
          <w:p w:rsidR="00EC7370" w:rsidRPr="003B26AA" w:rsidRDefault="00EC7370" w:rsidP="002B1F3A">
            <w:pPr>
              <w:spacing w:line="240" w:lineRule="auto"/>
              <w:ind w:left="0" w:firstLine="0"/>
              <w:rPr>
                <w:rFonts w:ascii="Arial" w:hAnsi="Arial" w:cs="Arial"/>
                <w:sz w:val="18"/>
                <w:szCs w:val="18"/>
              </w:rPr>
            </w:pPr>
            <w:r w:rsidRPr="003B26AA">
              <w:rPr>
                <w:rFonts w:ascii="Arial" w:hAnsi="Arial" w:cs="Arial"/>
                <w:sz w:val="18"/>
                <w:szCs w:val="18"/>
              </w:rPr>
              <w:t>Rasio Cash flow to debt</w:t>
            </w:r>
          </w:p>
        </w:tc>
        <w:tc>
          <w:tcPr>
            <w:tcW w:w="476" w:type="dxa"/>
            <w:gridSpan w:val="2"/>
            <w:tcBorders>
              <w:top w:val="nil"/>
              <w:left w:val="single" w:sz="16" w:space="0" w:color="000000"/>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60</w:t>
            </w:r>
          </w:p>
        </w:tc>
        <w:tc>
          <w:tcPr>
            <w:tcW w:w="151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,01</w:t>
            </w:r>
          </w:p>
        </w:tc>
        <w:tc>
          <w:tcPr>
            <w:tcW w:w="1441" w:type="dxa"/>
            <w:gridSpan w:val="2"/>
            <w:tcBorders>
              <w:top w:val="nil"/>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,70</w:t>
            </w:r>
          </w:p>
        </w:tc>
        <w:tc>
          <w:tcPr>
            <w:tcW w:w="153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,1303</w:t>
            </w:r>
          </w:p>
        </w:tc>
        <w:tc>
          <w:tcPr>
            <w:tcW w:w="1843" w:type="dxa"/>
            <w:tcBorders>
              <w:top w:val="nil"/>
              <w:bottom w:val="nil"/>
              <w:right w:val="single" w:sz="16" w:space="0" w:color="000000"/>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,14213</w:t>
            </w:r>
          </w:p>
        </w:tc>
      </w:tr>
      <w:tr w:rsidR="002B1F3A" w:rsidRPr="003B26AA" w:rsidTr="002B1F3A">
        <w:tblPrEx>
          <w:tblLook w:val="0000" w:firstRow="0" w:lastRow="0" w:firstColumn="0" w:lastColumn="0" w:noHBand="0" w:noVBand="0"/>
        </w:tblPrEx>
        <w:trPr>
          <w:cantSplit/>
          <w:trHeight w:val="273"/>
        </w:trPr>
        <w:tc>
          <w:tcPr>
            <w:tcW w:w="2268" w:type="dxa"/>
            <w:gridSpan w:val="2"/>
            <w:tcBorders>
              <w:top w:val="nil"/>
              <w:left w:val="single" w:sz="16" w:space="0" w:color="000000"/>
              <w:bottom w:val="nil"/>
              <w:right w:val="single" w:sz="16" w:space="0" w:color="000000"/>
            </w:tcBorders>
            <w:shd w:val="clear" w:color="auto" w:fill="FFFFFF"/>
          </w:tcPr>
          <w:p w:rsidR="00EC7370" w:rsidRPr="003B26AA" w:rsidRDefault="00EC7370" w:rsidP="002B1F3A">
            <w:pPr>
              <w:spacing w:line="240" w:lineRule="auto"/>
              <w:ind w:left="0" w:firstLine="0"/>
              <w:rPr>
                <w:rFonts w:ascii="Arial" w:hAnsi="Arial" w:cs="Arial"/>
                <w:sz w:val="18"/>
                <w:szCs w:val="18"/>
              </w:rPr>
            </w:pPr>
            <w:r w:rsidRPr="003B26AA">
              <w:rPr>
                <w:rFonts w:ascii="Arial" w:hAnsi="Arial" w:cs="Arial"/>
                <w:sz w:val="18"/>
                <w:szCs w:val="18"/>
              </w:rPr>
              <w:t>Rasio Profitabilitas</w:t>
            </w:r>
          </w:p>
        </w:tc>
        <w:tc>
          <w:tcPr>
            <w:tcW w:w="476" w:type="dxa"/>
            <w:gridSpan w:val="2"/>
            <w:tcBorders>
              <w:top w:val="nil"/>
              <w:left w:val="single" w:sz="16" w:space="0" w:color="000000"/>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60</w:t>
            </w:r>
          </w:p>
        </w:tc>
        <w:tc>
          <w:tcPr>
            <w:tcW w:w="151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-34,71</w:t>
            </w:r>
          </w:p>
        </w:tc>
        <w:tc>
          <w:tcPr>
            <w:tcW w:w="1441" w:type="dxa"/>
            <w:gridSpan w:val="2"/>
            <w:tcBorders>
              <w:top w:val="nil"/>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24,00</w:t>
            </w:r>
          </w:p>
        </w:tc>
        <w:tc>
          <w:tcPr>
            <w:tcW w:w="153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1,7565</w:t>
            </w:r>
          </w:p>
        </w:tc>
        <w:tc>
          <w:tcPr>
            <w:tcW w:w="1843" w:type="dxa"/>
            <w:tcBorders>
              <w:top w:val="nil"/>
              <w:bottom w:val="nil"/>
              <w:right w:val="single" w:sz="16" w:space="0" w:color="000000"/>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8,48338</w:t>
            </w:r>
          </w:p>
        </w:tc>
      </w:tr>
      <w:tr w:rsidR="002B1F3A" w:rsidRPr="003B26AA" w:rsidTr="002B1F3A">
        <w:tblPrEx>
          <w:tblLook w:val="0000" w:firstRow="0" w:lastRow="0" w:firstColumn="0" w:lastColumn="0" w:noHBand="0" w:noVBand="0"/>
        </w:tblPrEx>
        <w:trPr>
          <w:cantSplit/>
          <w:trHeight w:val="291"/>
        </w:trPr>
        <w:tc>
          <w:tcPr>
            <w:tcW w:w="2268" w:type="dxa"/>
            <w:gridSpan w:val="2"/>
            <w:tcBorders>
              <w:top w:val="nil"/>
              <w:left w:val="single" w:sz="16" w:space="0" w:color="000000"/>
              <w:bottom w:val="nil"/>
              <w:right w:val="single" w:sz="16" w:space="0" w:color="000000"/>
            </w:tcBorders>
            <w:shd w:val="clear" w:color="auto" w:fill="FFFFFF"/>
          </w:tcPr>
          <w:p w:rsidR="00EC7370" w:rsidRPr="003B26AA" w:rsidRDefault="00EC7370" w:rsidP="002B1F3A">
            <w:pPr>
              <w:spacing w:line="240" w:lineRule="auto"/>
              <w:ind w:left="0" w:firstLine="0"/>
              <w:rPr>
                <w:rFonts w:ascii="Arial" w:hAnsi="Arial" w:cs="Arial"/>
                <w:sz w:val="18"/>
                <w:szCs w:val="18"/>
              </w:rPr>
            </w:pPr>
            <w:r w:rsidRPr="003B26AA">
              <w:rPr>
                <w:rFonts w:ascii="Arial" w:hAnsi="Arial" w:cs="Arial"/>
                <w:sz w:val="18"/>
                <w:szCs w:val="18"/>
              </w:rPr>
              <w:t>Umur obligasi</w:t>
            </w:r>
          </w:p>
        </w:tc>
        <w:tc>
          <w:tcPr>
            <w:tcW w:w="476" w:type="dxa"/>
            <w:gridSpan w:val="2"/>
            <w:tcBorders>
              <w:top w:val="nil"/>
              <w:left w:val="single" w:sz="16" w:space="0" w:color="000000"/>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60</w:t>
            </w:r>
          </w:p>
        </w:tc>
        <w:tc>
          <w:tcPr>
            <w:tcW w:w="151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,00</w:t>
            </w:r>
          </w:p>
        </w:tc>
        <w:tc>
          <w:tcPr>
            <w:tcW w:w="1441" w:type="dxa"/>
            <w:gridSpan w:val="2"/>
            <w:tcBorders>
              <w:top w:val="nil"/>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1,00</w:t>
            </w:r>
          </w:p>
        </w:tc>
        <w:tc>
          <w:tcPr>
            <w:tcW w:w="153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,4667</w:t>
            </w:r>
          </w:p>
        </w:tc>
        <w:tc>
          <w:tcPr>
            <w:tcW w:w="1843" w:type="dxa"/>
            <w:tcBorders>
              <w:top w:val="nil"/>
              <w:bottom w:val="nil"/>
              <w:right w:val="single" w:sz="16" w:space="0" w:color="000000"/>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,50310</w:t>
            </w:r>
          </w:p>
        </w:tc>
      </w:tr>
      <w:tr w:rsidR="002B1F3A" w:rsidRPr="003B26AA" w:rsidTr="002B1F3A">
        <w:tblPrEx>
          <w:tblLook w:val="0000" w:firstRow="0" w:lastRow="0" w:firstColumn="0" w:lastColumn="0" w:noHBand="0" w:noVBand="0"/>
        </w:tblPrEx>
        <w:trPr>
          <w:cantSplit/>
          <w:trHeight w:val="281"/>
        </w:trPr>
        <w:tc>
          <w:tcPr>
            <w:tcW w:w="2268" w:type="dxa"/>
            <w:gridSpan w:val="2"/>
            <w:tcBorders>
              <w:top w:val="nil"/>
              <w:left w:val="single" w:sz="16" w:space="0" w:color="000000"/>
              <w:bottom w:val="nil"/>
              <w:right w:val="single" w:sz="16" w:space="0" w:color="000000"/>
            </w:tcBorders>
            <w:shd w:val="clear" w:color="auto" w:fill="FFFFFF"/>
          </w:tcPr>
          <w:p w:rsidR="00EC7370" w:rsidRPr="003B26AA" w:rsidRDefault="00EC7370" w:rsidP="002B1F3A">
            <w:pPr>
              <w:spacing w:line="240" w:lineRule="auto"/>
              <w:ind w:left="0" w:firstLine="0"/>
              <w:rPr>
                <w:rFonts w:ascii="Arial" w:hAnsi="Arial" w:cs="Arial"/>
                <w:sz w:val="18"/>
                <w:szCs w:val="18"/>
              </w:rPr>
            </w:pPr>
            <w:r w:rsidRPr="003B26AA">
              <w:rPr>
                <w:rFonts w:ascii="Arial" w:hAnsi="Arial" w:cs="Arial"/>
                <w:sz w:val="18"/>
                <w:szCs w:val="18"/>
              </w:rPr>
              <w:t>Peringkat</w:t>
            </w:r>
          </w:p>
        </w:tc>
        <w:tc>
          <w:tcPr>
            <w:tcW w:w="476" w:type="dxa"/>
            <w:gridSpan w:val="2"/>
            <w:tcBorders>
              <w:top w:val="nil"/>
              <w:left w:val="single" w:sz="16" w:space="0" w:color="000000"/>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60</w:t>
            </w:r>
          </w:p>
        </w:tc>
        <w:tc>
          <w:tcPr>
            <w:tcW w:w="151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,00</w:t>
            </w:r>
          </w:p>
        </w:tc>
        <w:tc>
          <w:tcPr>
            <w:tcW w:w="1441" w:type="dxa"/>
            <w:gridSpan w:val="2"/>
            <w:tcBorders>
              <w:top w:val="nil"/>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1,00</w:t>
            </w:r>
          </w:p>
        </w:tc>
        <w:tc>
          <w:tcPr>
            <w:tcW w:w="153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,8833</w:t>
            </w:r>
          </w:p>
        </w:tc>
        <w:tc>
          <w:tcPr>
            <w:tcW w:w="1843" w:type="dxa"/>
            <w:tcBorders>
              <w:top w:val="nil"/>
              <w:bottom w:val="nil"/>
              <w:right w:val="single" w:sz="16" w:space="0" w:color="000000"/>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,32373</w:t>
            </w:r>
          </w:p>
        </w:tc>
      </w:tr>
      <w:tr w:rsidR="002B1F3A" w:rsidRPr="003B26AA" w:rsidTr="009E6561">
        <w:tblPrEx>
          <w:tblLook w:val="0000" w:firstRow="0" w:lastRow="0" w:firstColumn="0" w:lastColumn="0" w:noHBand="0" w:noVBand="0"/>
        </w:tblPrEx>
        <w:trPr>
          <w:cantSplit/>
          <w:trHeight w:val="74"/>
        </w:trPr>
        <w:tc>
          <w:tcPr>
            <w:tcW w:w="2268" w:type="dxa"/>
            <w:gridSpan w:val="2"/>
            <w:tcBorders>
              <w:top w:val="nil"/>
              <w:left w:val="single" w:sz="16" w:space="0" w:color="000000"/>
              <w:bottom w:val="single" w:sz="16" w:space="0" w:color="000000"/>
              <w:right w:val="single" w:sz="16" w:space="0" w:color="000000"/>
            </w:tcBorders>
            <w:shd w:val="clear" w:color="auto" w:fill="FFFFFF"/>
          </w:tcPr>
          <w:p w:rsidR="00EC7370" w:rsidRPr="00881F5A" w:rsidRDefault="00EC7370" w:rsidP="00881F5A">
            <w:pPr>
              <w:spacing w:line="240" w:lineRule="auto"/>
              <w:ind w:left="0" w:firstLine="0"/>
              <w:rPr>
                <w:rFonts w:ascii="Arial" w:hAnsi="Arial" w:cs="Arial"/>
                <w:sz w:val="18"/>
                <w:szCs w:val="18"/>
              </w:rPr>
            </w:pPr>
            <w:r w:rsidRPr="003B26AA">
              <w:rPr>
                <w:rFonts w:ascii="Arial" w:hAnsi="Arial" w:cs="Arial"/>
                <w:sz w:val="18"/>
                <w:szCs w:val="18"/>
              </w:rPr>
              <w:t>Valid N (listwise)</w:t>
            </w:r>
          </w:p>
        </w:tc>
        <w:tc>
          <w:tcPr>
            <w:tcW w:w="476" w:type="dxa"/>
            <w:gridSpan w:val="2"/>
            <w:tcBorders>
              <w:top w:val="nil"/>
              <w:left w:val="single" w:sz="16" w:space="0" w:color="000000"/>
              <w:bottom w:val="single" w:sz="16" w:space="0" w:color="000000"/>
            </w:tcBorders>
            <w:shd w:val="clear" w:color="auto" w:fill="FFFFFF"/>
            <w:vAlign w:val="center"/>
          </w:tcPr>
          <w:p w:rsidR="00EC7370" w:rsidRPr="003B26AA" w:rsidRDefault="00EC7370" w:rsidP="002B1F3A">
            <w:pPr>
              <w:spacing w:line="240" w:lineRule="auto"/>
              <w:jc w:val="center"/>
              <w:rPr>
                <w:rFonts w:ascii="Arial" w:hAnsi="Arial" w:cs="Arial"/>
                <w:sz w:val="18"/>
                <w:szCs w:val="18"/>
              </w:rPr>
            </w:pPr>
            <w:r w:rsidRPr="003B26AA">
              <w:rPr>
                <w:rFonts w:ascii="Arial" w:hAnsi="Arial" w:cs="Arial"/>
                <w:sz w:val="18"/>
                <w:szCs w:val="18"/>
              </w:rPr>
              <w:t>60</w:t>
            </w:r>
          </w:p>
        </w:tc>
        <w:tc>
          <w:tcPr>
            <w:tcW w:w="1512" w:type="dxa"/>
            <w:tcBorders>
              <w:top w:val="nil"/>
              <w:bottom w:val="single" w:sz="16" w:space="0" w:color="000000"/>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p>
        </w:tc>
        <w:tc>
          <w:tcPr>
            <w:tcW w:w="1441" w:type="dxa"/>
            <w:gridSpan w:val="2"/>
            <w:tcBorders>
              <w:top w:val="nil"/>
              <w:bottom w:val="single" w:sz="16" w:space="0" w:color="000000"/>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p>
        </w:tc>
        <w:tc>
          <w:tcPr>
            <w:tcW w:w="1532" w:type="dxa"/>
            <w:tcBorders>
              <w:top w:val="nil"/>
              <w:bottom w:val="single" w:sz="16" w:space="0" w:color="000000"/>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p>
        </w:tc>
        <w:tc>
          <w:tcPr>
            <w:tcW w:w="1843" w:type="dxa"/>
            <w:tcBorders>
              <w:top w:val="nil"/>
              <w:bottom w:val="single" w:sz="16" w:space="0" w:color="000000"/>
              <w:right w:val="single" w:sz="16" w:space="0" w:color="000000"/>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p>
        </w:tc>
      </w:tr>
      <w:tr w:rsidR="00057CB4" w:rsidRPr="00057CB4" w:rsidTr="002B1F3A">
        <w:trPr>
          <w:cantSplit/>
        </w:trPr>
        <w:tc>
          <w:tcPr>
            <w:tcW w:w="9072" w:type="dxa"/>
            <w:gridSpan w:val="9"/>
            <w:tcBorders>
              <w:top w:val="nil"/>
              <w:left w:val="nil"/>
              <w:bottom w:val="nil"/>
              <w:right w:val="nil"/>
            </w:tcBorders>
            <w:shd w:val="clear" w:color="auto" w:fill="FFFFFF"/>
            <w:vAlign w:val="center"/>
            <w:hideMark/>
          </w:tcPr>
          <w:p w:rsidR="00143667" w:rsidRDefault="00143667" w:rsidP="001E469A">
            <w:pPr>
              <w:spacing w:line="360" w:lineRule="auto"/>
              <w:ind w:left="0" w:right="60" w:firstLine="0"/>
              <w:jc w:val="both"/>
              <w:rPr>
                <w:rFonts w:eastAsia="Times New Roman" w:cs="Times New Roman"/>
                <w:sz w:val="22"/>
                <w:szCs w:val="20"/>
              </w:rPr>
            </w:pPr>
            <w:r>
              <w:rPr>
                <w:rFonts w:eastAsia="Times New Roman" w:cs="Times New Roman"/>
                <w:i/>
                <w:sz w:val="22"/>
                <w:szCs w:val="20"/>
              </w:rPr>
              <w:t>Sumber: Hasil olahan SPSS</w:t>
            </w:r>
            <w:r>
              <w:rPr>
                <w:rFonts w:eastAsia="Times New Roman" w:cs="Times New Roman"/>
                <w:sz w:val="22"/>
                <w:szCs w:val="20"/>
              </w:rPr>
              <w:tab/>
            </w:r>
          </w:p>
          <w:p w:rsidR="002B1F3A" w:rsidRDefault="00143667" w:rsidP="001E469A">
            <w:pPr>
              <w:spacing w:line="360" w:lineRule="auto"/>
              <w:ind w:left="0" w:right="60" w:firstLine="0"/>
              <w:jc w:val="both"/>
              <w:rPr>
                <w:rFonts w:eastAsia="Times New Roman" w:cs="Times New Roman"/>
                <w:sz w:val="22"/>
                <w:szCs w:val="20"/>
              </w:rPr>
            </w:pPr>
            <w:r>
              <w:rPr>
                <w:rFonts w:eastAsia="Times New Roman" w:cs="Times New Roman"/>
                <w:sz w:val="22"/>
                <w:szCs w:val="20"/>
              </w:rPr>
              <w:tab/>
            </w:r>
            <w:r w:rsidR="002B1F3A" w:rsidRPr="002B1F3A">
              <w:rPr>
                <w:rFonts w:eastAsia="Times New Roman" w:cs="Times New Roman"/>
                <w:sz w:val="22"/>
                <w:szCs w:val="20"/>
                <w:lang w:val="en-US"/>
              </w:rPr>
              <w:t xml:space="preserve">Hasil uji statistik deskriptif yang digambarkan oleh </w:t>
            </w:r>
            <w:r w:rsidR="002B1F3A">
              <w:rPr>
                <w:rFonts w:eastAsia="Times New Roman" w:cs="Times New Roman"/>
                <w:sz w:val="22"/>
                <w:szCs w:val="20"/>
                <w:lang w:val="en-US"/>
              </w:rPr>
              <w:t>tabel 4.</w:t>
            </w:r>
            <w:r w:rsidR="002B1F3A">
              <w:rPr>
                <w:rFonts w:eastAsia="Times New Roman" w:cs="Times New Roman"/>
                <w:sz w:val="22"/>
                <w:szCs w:val="20"/>
              </w:rPr>
              <w:t>1</w:t>
            </w:r>
            <w:r w:rsidR="002B1F3A" w:rsidRPr="002B1F3A">
              <w:rPr>
                <w:rFonts w:eastAsia="Times New Roman" w:cs="Times New Roman"/>
                <w:sz w:val="22"/>
                <w:szCs w:val="20"/>
                <w:lang w:val="en-US"/>
              </w:rPr>
              <w:t xml:space="preserve"> menunjukkan bahwa pada</w:t>
            </w:r>
            <w:r w:rsidR="004D7A3E">
              <w:rPr>
                <w:rFonts w:eastAsia="Times New Roman" w:cs="Times New Roman"/>
                <w:sz w:val="22"/>
                <w:szCs w:val="20"/>
              </w:rPr>
              <w:t xml:space="preserve"> rasio likuiditas nilai minimumnya 0,040, nilai maksimum 222,00, nilai rata-rata 51,3270 dan standar deviasi</w:t>
            </w:r>
            <w:r w:rsidR="001E469A">
              <w:rPr>
                <w:rFonts w:eastAsia="Times New Roman" w:cs="Times New Roman"/>
                <w:sz w:val="22"/>
                <w:szCs w:val="20"/>
              </w:rPr>
              <w:t xml:space="preserve"> 63,</w:t>
            </w:r>
            <w:r w:rsidR="004D7A3E">
              <w:rPr>
                <w:rFonts w:eastAsia="Times New Roman" w:cs="Times New Roman"/>
                <w:sz w:val="22"/>
                <w:szCs w:val="20"/>
              </w:rPr>
              <w:t xml:space="preserve">41905. Rasio </w:t>
            </w:r>
            <w:r w:rsidR="004D7A3E">
              <w:rPr>
                <w:rFonts w:eastAsia="Times New Roman" w:cs="Times New Roman"/>
                <w:i/>
                <w:sz w:val="22"/>
                <w:szCs w:val="20"/>
              </w:rPr>
              <w:t>leverage</w:t>
            </w:r>
            <w:r w:rsidR="004D7A3E">
              <w:rPr>
                <w:rFonts w:eastAsia="Times New Roman" w:cs="Times New Roman"/>
                <w:sz w:val="22"/>
                <w:szCs w:val="20"/>
              </w:rPr>
              <w:t xml:space="preserve"> mempunyai nilai minimum -145,47, nilai maksimum 420,20, nilai rata-rata 102,5773, dengan standar deviasi 98,42297. Rasio </w:t>
            </w:r>
            <w:r w:rsidR="004D7A3E">
              <w:rPr>
                <w:rFonts w:eastAsia="Times New Roman" w:cs="Times New Roman"/>
                <w:i/>
                <w:sz w:val="22"/>
                <w:szCs w:val="20"/>
              </w:rPr>
              <w:t>coverage</w:t>
            </w:r>
            <w:r w:rsidR="004D7A3E">
              <w:rPr>
                <w:rFonts w:eastAsia="Times New Roman" w:cs="Times New Roman"/>
                <w:sz w:val="22"/>
                <w:szCs w:val="20"/>
              </w:rPr>
              <w:t xml:space="preserve"> menunjukkan nilai minimumnya -274,00, nilai maksimum 603,36, nilai rata-rata 50,3753, dan standar deviasi 116,79240. Rasio </w:t>
            </w:r>
            <w:r w:rsidR="004D7A3E">
              <w:rPr>
                <w:rFonts w:eastAsia="Times New Roman" w:cs="Times New Roman"/>
                <w:i/>
                <w:sz w:val="22"/>
                <w:szCs w:val="20"/>
              </w:rPr>
              <w:t>cash flow to debt</w:t>
            </w:r>
            <w:r w:rsidR="004D7A3E">
              <w:rPr>
                <w:rFonts w:eastAsia="Times New Roman" w:cs="Times New Roman"/>
                <w:sz w:val="22"/>
                <w:szCs w:val="20"/>
              </w:rPr>
              <w:t xml:space="preserve"> memiliki nilai minimum </w:t>
            </w:r>
            <w:r w:rsidR="001E469A">
              <w:rPr>
                <w:rFonts w:eastAsia="Times New Roman" w:cs="Times New Roman"/>
                <w:sz w:val="22"/>
                <w:szCs w:val="20"/>
              </w:rPr>
              <w:t xml:space="preserve">0,01, nilai maksimum 0,70, nilai rata-rata 0,1303, dan standar deviasi 0,14213. Rasio profitabilitas mempunyai nilai </w:t>
            </w:r>
            <w:r w:rsidR="001E469A" w:rsidRPr="001E469A">
              <w:rPr>
                <w:rFonts w:eastAsia="Times New Roman" w:cs="Times New Roman"/>
                <w:sz w:val="22"/>
                <w:szCs w:val="20"/>
              </w:rPr>
              <w:t>minimum -</w:t>
            </w:r>
            <w:r w:rsidR="001E469A">
              <w:rPr>
                <w:rFonts w:eastAsia="Times New Roman" w:cs="Times New Roman"/>
                <w:sz w:val="22"/>
                <w:szCs w:val="20"/>
              </w:rPr>
              <w:t>34,71</w:t>
            </w:r>
            <w:r w:rsidR="001E469A" w:rsidRPr="001E469A">
              <w:rPr>
                <w:rFonts w:eastAsia="Times New Roman" w:cs="Times New Roman"/>
                <w:sz w:val="22"/>
                <w:szCs w:val="20"/>
              </w:rPr>
              <w:t xml:space="preserve">, </w:t>
            </w:r>
            <w:r w:rsidR="001E469A">
              <w:rPr>
                <w:rFonts w:eastAsia="Times New Roman" w:cs="Times New Roman"/>
                <w:sz w:val="22"/>
                <w:szCs w:val="20"/>
              </w:rPr>
              <w:t xml:space="preserve">nilai maksimum 24,00, nilai rata-rata 1,7565, dengan standar deviasi </w:t>
            </w:r>
            <w:r w:rsidR="001E469A" w:rsidRPr="001E469A">
              <w:rPr>
                <w:rFonts w:eastAsia="Times New Roman" w:cs="Times New Roman"/>
                <w:sz w:val="22"/>
                <w:szCs w:val="20"/>
              </w:rPr>
              <w:t>8,4</w:t>
            </w:r>
            <w:r w:rsidR="001E469A">
              <w:rPr>
                <w:rFonts w:eastAsia="Times New Roman" w:cs="Times New Roman"/>
                <w:sz w:val="22"/>
                <w:szCs w:val="20"/>
              </w:rPr>
              <w:t>8338</w:t>
            </w:r>
            <w:r w:rsidR="001E469A" w:rsidRPr="001E469A">
              <w:rPr>
                <w:rFonts w:eastAsia="Times New Roman" w:cs="Times New Roman"/>
                <w:sz w:val="22"/>
                <w:szCs w:val="20"/>
              </w:rPr>
              <w:t>.</w:t>
            </w:r>
            <w:r w:rsidR="001E469A">
              <w:rPr>
                <w:rFonts w:eastAsia="Times New Roman" w:cs="Times New Roman"/>
                <w:sz w:val="22"/>
                <w:szCs w:val="20"/>
              </w:rPr>
              <w:t xml:space="preserve"> Umur obligasi mempunyai</w:t>
            </w:r>
            <w:r w:rsidR="001E469A" w:rsidRPr="001E469A">
              <w:rPr>
                <w:rFonts w:eastAsia="Times New Roman" w:cs="Times New Roman"/>
                <w:sz w:val="22"/>
                <w:szCs w:val="20"/>
                <w:lang w:val="en-US"/>
              </w:rPr>
              <w:t xml:space="preserve"> </w:t>
            </w:r>
            <w:r w:rsidR="001E469A" w:rsidRPr="001E469A">
              <w:rPr>
                <w:rFonts w:eastAsia="Times New Roman" w:cs="Times New Roman"/>
                <w:sz w:val="22"/>
                <w:szCs w:val="20"/>
              </w:rPr>
              <w:t>nilai minimum</w:t>
            </w:r>
            <w:r w:rsidR="001E469A">
              <w:rPr>
                <w:rFonts w:eastAsia="Times New Roman" w:cs="Times New Roman"/>
                <w:sz w:val="22"/>
                <w:szCs w:val="20"/>
              </w:rPr>
              <w:t xml:space="preserve"> 0,0</w:t>
            </w:r>
            <w:r w:rsidR="001E469A" w:rsidRPr="001E469A">
              <w:rPr>
                <w:rFonts w:eastAsia="Times New Roman" w:cs="Times New Roman"/>
                <w:sz w:val="22"/>
                <w:szCs w:val="20"/>
              </w:rPr>
              <w:t>0, nilai maksimum</w:t>
            </w:r>
            <w:r w:rsidR="001E469A">
              <w:rPr>
                <w:rFonts w:eastAsia="Times New Roman" w:cs="Times New Roman"/>
                <w:sz w:val="22"/>
                <w:szCs w:val="20"/>
              </w:rPr>
              <w:t xml:space="preserve"> 1,00, nilai rata-rata 0,4667</w:t>
            </w:r>
            <w:r w:rsidR="001E469A" w:rsidRPr="001E469A">
              <w:rPr>
                <w:rFonts w:eastAsia="Times New Roman" w:cs="Times New Roman"/>
                <w:sz w:val="22"/>
                <w:szCs w:val="20"/>
              </w:rPr>
              <w:t xml:space="preserve"> dan standar deviasi</w:t>
            </w:r>
            <w:r w:rsidR="001E469A">
              <w:rPr>
                <w:rFonts w:eastAsia="Times New Roman" w:cs="Times New Roman"/>
                <w:sz w:val="22"/>
                <w:szCs w:val="20"/>
              </w:rPr>
              <w:t xml:space="preserve"> 0,50310. Sedangkan peringkat obligasi </w:t>
            </w:r>
            <w:r w:rsidR="001E469A" w:rsidRPr="001E469A">
              <w:rPr>
                <w:rFonts w:eastAsia="Times New Roman" w:cs="Times New Roman"/>
                <w:sz w:val="22"/>
                <w:szCs w:val="20"/>
              </w:rPr>
              <w:t>m</w:t>
            </w:r>
            <w:r w:rsidR="001E469A">
              <w:rPr>
                <w:rFonts w:eastAsia="Times New Roman" w:cs="Times New Roman"/>
                <w:sz w:val="22"/>
                <w:szCs w:val="20"/>
              </w:rPr>
              <w:t>enunjukkan nilai minimumnya 0,00, nilai maksimum 1,00, nilai rata-rata 0,8833</w:t>
            </w:r>
            <w:r w:rsidR="001E469A" w:rsidRPr="001E469A">
              <w:rPr>
                <w:rFonts w:eastAsia="Times New Roman" w:cs="Times New Roman"/>
                <w:sz w:val="22"/>
                <w:szCs w:val="20"/>
              </w:rPr>
              <w:t>, dan standar deviasi</w:t>
            </w:r>
            <w:r w:rsidR="001E469A">
              <w:rPr>
                <w:rFonts w:eastAsia="Times New Roman" w:cs="Times New Roman"/>
                <w:sz w:val="22"/>
                <w:szCs w:val="20"/>
              </w:rPr>
              <w:t xml:space="preserve"> 0,32373.</w:t>
            </w:r>
          </w:p>
          <w:p w:rsidR="001E469A" w:rsidRPr="00881F5A" w:rsidRDefault="001E469A" w:rsidP="001E469A">
            <w:pPr>
              <w:pStyle w:val="ListParagraph"/>
              <w:numPr>
                <w:ilvl w:val="0"/>
                <w:numId w:val="14"/>
              </w:numPr>
              <w:spacing w:line="360" w:lineRule="auto"/>
              <w:ind w:left="426" w:right="60" w:hanging="426"/>
              <w:jc w:val="both"/>
              <w:rPr>
                <w:rFonts w:eastAsia="Calibri" w:cs="Times New Roman"/>
                <w:b/>
                <w:bCs/>
                <w:sz w:val="22"/>
              </w:rPr>
            </w:pPr>
            <w:r>
              <w:rPr>
                <w:rFonts w:eastAsia="Calibri" w:cs="Times New Roman"/>
                <w:bCs/>
                <w:i/>
                <w:sz w:val="22"/>
              </w:rPr>
              <w:t>Uji Nilai likelihood</w:t>
            </w:r>
          </w:p>
          <w:p w:rsidR="00881F5A" w:rsidRPr="00881F5A" w:rsidRDefault="00881F5A" w:rsidP="00881F5A">
            <w:pPr>
              <w:pStyle w:val="ListParagraph"/>
              <w:spacing w:line="360" w:lineRule="auto"/>
              <w:ind w:left="0" w:right="60" w:firstLine="0"/>
              <w:jc w:val="center"/>
              <w:rPr>
                <w:rFonts w:eastAsia="Calibri" w:cs="Times New Roman"/>
                <w:b/>
                <w:bCs/>
                <w:sz w:val="22"/>
              </w:rPr>
            </w:pPr>
            <w:r>
              <w:rPr>
                <w:rFonts w:eastAsia="Calibri" w:cs="Times New Roman"/>
                <w:bCs/>
                <w:sz w:val="22"/>
              </w:rPr>
              <w:t>Tabel 4.2</w:t>
            </w:r>
          </w:p>
          <w:p w:rsidR="00057CB4" w:rsidRPr="00057CB4" w:rsidRDefault="00057CB4" w:rsidP="00EC7370">
            <w:pPr>
              <w:spacing w:line="240" w:lineRule="auto"/>
              <w:ind w:left="60" w:right="60" w:firstLine="0"/>
              <w:jc w:val="center"/>
              <w:rPr>
                <w:rFonts w:ascii="Arial" w:eastAsia="Calibri" w:hAnsi="Arial" w:cs="Arial"/>
                <w:sz w:val="18"/>
                <w:szCs w:val="18"/>
                <w:lang w:val="en-US"/>
              </w:rPr>
            </w:pPr>
            <w:r w:rsidRPr="00057CB4">
              <w:rPr>
                <w:rFonts w:ascii="Arial" w:eastAsia="Calibri" w:hAnsi="Arial" w:cs="Arial"/>
                <w:b/>
                <w:bCs/>
                <w:sz w:val="18"/>
                <w:szCs w:val="18"/>
                <w:lang w:val="en-US"/>
              </w:rPr>
              <w:t>Model Summary</w:t>
            </w:r>
          </w:p>
        </w:tc>
      </w:tr>
      <w:tr w:rsidR="00057CB4" w:rsidRPr="00057CB4" w:rsidTr="002B1F3A">
        <w:trPr>
          <w:cantSplit/>
        </w:trPr>
        <w:tc>
          <w:tcPr>
            <w:tcW w:w="849"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057CB4" w:rsidRPr="00057CB4" w:rsidRDefault="00057CB4" w:rsidP="00EC7370">
            <w:pPr>
              <w:spacing w:after="200" w:line="240" w:lineRule="auto"/>
              <w:ind w:left="60" w:right="60" w:firstLine="0"/>
              <w:rPr>
                <w:rFonts w:ascii="Arial" w:eastAsia="Calibri" w:hAnsi="Arial" w:cs="Arial"/>
                <w:sz w:val="18"/>
                <w:szCs w:val="18"/>
                <w:lang w:val="en-US"/>
              </w:rPr>
            </w:pPr>
            <w:r w:rsidRPr="00057CB4">
              <w:rPr>
                <w:rFonts w:ascii="Arial" w:eastAsia="Calibri" w:hAnsi="Arial" w:cs="Arial"/>
                <w:sz w:val="18"/>
                <w:szCs w:val="18"/>
                <w:lang w:val="en-US"/>
              </w:rPr>
              <w:t>Step</w:t>
            </w:r>
          </w:p>
        </w:tc>
        <w:tc>
          <w:tcPr>
            <w:tcW w:w="1702" w:type="dxa"/>
            <w:gridSpan w:val="2"/>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057CB4" w:rsidRPr="00057CB4" w:rsidRDefault="00057CB4" w:rsidP="00EC7370">
            <w:pPr>
              <w:spacing w:after="200" w:line="240" w:lineRule="auto"/>
              <w:ind w:left="60" w:right="60" w:firstLine="0"/>
              <w:jc w:val="center"/>
              <w:rPr>
                <w:rFonts w:ascii="Arial" w:eastAsia="Calibri" w:hAnsi="Arial" w:cs="Arial"/>
                <w:sz w:val="18"/>
                <w:szCs w:val="18"/>
                <w:lang w:val="en-US"/>
              </w:rPr>
            </w:pPr>
            <w:r w:rsidRPr="00057CB4">
              <w:rPr>
                <w:rFonts w:ascii="Arial" w:eastAsia="Calibri" w:hAnsi="Arial" w:cs="Arial"/>
                <w:sz w:val="18"/>
                <w:szCs w:val="18"/>
                <w:lang w:val="en-US"/>
              </w:rPr>
              <w:t>-2 Log likelihood</w:t>
            </w:r>
          </w:p>
        </w:tc>
        <w:tc>
          <w:tcPr>
            <w:tcW w:w="2835" w:type="dxa"/>
            <w:gridSpan w:val="3"/>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057CB4" w:rsidRPr="00057CB4" w:rsidRDefault="00057CB4" w:rsidP="00EC7370">
            <w:pPr>
              <w:spacing w:after="200" w:line="240" w:lineRule="auto"/>
              <w:ind w:left="60" w:right="60" w:firstLine="0"/>
              <w:jc w:val="center"/>
              <w:rPr>
                <w:rFonts w:ascii="Arial" w:eastAsia="Calibri" w:hAnsi="Arial" w:cs="Arial"/>
                <w:sz w:val="18"/>
                <w:szCs w:val="18"/>
                <w:lang w:val="en-US"/>
              </w:rPr>
            </w:pPr>
            <w:r w:rsidRPr="00057CB4">
              <w:rPr>
                <w:rFonts w:ascii="Arial" w:eastAsia="Calibri" w:hAnsi="Arial" w:cs="Arial"/>
                <w:sz w:val="18"/>
                <w:szCs w:val="18"/>
                <w:lang w:val="en-US"/>
              </w:rPr>
              <w:t>Cox &amp; Snell R Square</w:t>
            </w:r>
          </w:p>
        </w:tc>
        <w:tc>
          <w:tcPr>
            <w:tcW w:w="3686" w:type="dxa"/>
            <w:gridSpan w:val="3"/>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057CB4" w:rsidRPr="00057CB4" w:rsidRDefault="00057CB4" w:rsidP="00EC7370">
            <w:pPr>
              <w:spacing w:after="200" w:line="240" w:lineRule="auto"/>
              <w:ind w:left="60" w:right="60" w:firstLine="0"/>
              <w:jc w:val="center"/>
              <w:rPr>
                <w:rFonts w:ascii="Arial" w:eastAsia="Calibri" w:hAnsi="Arial" w:cs="Arial"/>
                <w:sz w:val="18"/>
                <w:szCs w:val="18"/>
                <w:lang w:val="en-US"/>
              </w:rPr>
            </w:pPr>
            <w:r w:rsidRPr="00057CB4">
              <w:rPr>
                <w:rFonts w:ascii="Arial" w:eastAsia="Calibri" w:hAnsi="Arial" w:cs="Arial"/>
                <w:sz w:val="18"/>
                <w:szCs w:val="18"/>
                <w:lang w:val="en-US"/>
              </w:rPr>
              <w:t>Nagelkerke R Square</w:t>
            </w:r>
          </w:p>
        </w:tc>
      </w:tr>
      <w:tr w:rsidR="00057CB4" w:rsidRPr="00057CB4" w:rsidTr="002B1F3A">
        <w:trPr>
          <w:cantSplit/>
        </w:trPr>
        <w:tc>
          <w:tcPr>
            <w:tcW w:w="849" w:type="dxa"/>
            <w:tcBorders>
              <w:top w:val="single" w:sz="18" w:space="0" w:color="000000"/>
              <w:left w:val="single" w:sz="18" w:space="0" w:color="000000"/>
              <w:bottom w:val="single" w:sz="18" w:space="0" w:color="000000"/>
              <w:right w:val="single" w:sz="18" w:space="0" w:color="000000"/>
            </w:tcBorders>
            <w:shd w:val="clear" w:color="auto" w:fill="FFFFFF"/>
            <w:hideMark/>
          </w:tcPr>
          <w:p w:rsidR="00057CB4" w:rsidRPr="00057CB4" w:rsidRDefault="00057CB4" w:rsidP="00EC7370">
            <w:pPr>
              <w:spacing w:after="200" w:line="240" w:lineRule="auto"/>
              <w:ind w:left="60" w:right="60" w:firstLine="0"/>
              <w:rPr>
                <w:rFonts w:ascii="Arial" w:eastAsia="Calibri" w:hAnsi="Arial" w:cs="Arial"/>
                <w:sz w:val="18"/>
                <w:szCs w:val="18"/>
                <w:lang w:val="en-US"/>
              </w:rPr>
            </w:pPr>
            <w:r w:rsidRPr="00057CB4">
              <w:rPr>
                <w:rFonts w:ascii="Arial" w:eastAsia="Calibri" w:hAnsi="Arial" w:cs="Arial"/>
                <w:sz w:val="18"/>
                <w:szCs w:val="18"/>
                <w:lang w:val="en-US"/>
              </w:rPr>
              <w:t>1</w:t>
            </w:r>
          </w:p>
        </w:tc>
        <w:tc>
          <w:tcPr>
            <w:tcW w:w="1702" w:type="dxa"/>
            <w:gridSpan w:val="2"/>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057CB4" w:rsidRPr="00057CB4" w:rsidRDefault="00057CB4" w:rsidP="00EC7370">
            <w:pPr>
              <w:spacing w:after="200" w:line="240" w:lineRule="auto"/>
              <w:ind w:left="60" w:right="60" w:firstLine="0"/>
              <w:jc w:val="right"/>
              <w:rPr>
                <w:rFonts w:ascii="Arial" w:eastAsia="Calibri" w:hAnsi="Arial" w:cs="Arial"/>
                <w:sz w:val="18"/>
                <w:szCs w:val="18"/>
                <w:lang w:val="en-US"/>
              </w:rPr>
            </w:pPr>
            <w:r w:rsidRPr="00057CB4">
              <w:rPr>
                <w:rFonts w:ascii="Arial" w:eastAsia="Calibri" w:hAnsi="Arial" w:cs="Arial"/>
                <w:sz w:val="18"/>
                <w:szCs w:val="18"/>
                <w:lang w:val="en-US"/>
              </w:rPr>
              <w:t>.000</w:t>
            </w:r>
            <w:r w:rsidRPr="00057CB4">
              <w:rPr>
                <w:rFonts w:ascii="Arial" w:eastAsia="Calibri" w:hAnsi="Arial" w:cs="Arial"/>
                <w:sz w:val="18"/>
                <w:szCs w:val="18"/>
                <w:vertAlign w:val="superscript"/>
                <w:lang w:val="en-US"/>
              </w:rPr>
              <w:t>a</w:t>
            </w:r>
          </w:p>
        </w:tc>
        <w:tc>
          <w:tcPr>
            <w:tcW w:w="2835" w:type="dxa"/>
            <w:gridSpan w:val="3"/>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057CB4" w:rsidRPr="00057CB4" w:rsidRDefault="00057CB4" w:rsidP="00EC7370">
            <w:pPr>
              <w:spacing w:after="200" w:line="240" w:lineRule="auto"/>
              <w:ind w:left="60" w:right="60" w:firstLine="0"/>
              <w:jc w:val="right"/>
              <w:rPr>
                <w:rFonts w:ascii="Arial" w:eastAsia="Calibri" w:hAnsi="Arial" w:cs="Arial"/>
                <w:sz w:val="18"/>
                <w:szCs w:val="18"/>
                <w:lang w:val="en-US"/>
              </w:rPr>
            </w:pPr>
            <w:r w:rsidRPr="00057CB4">
              <w:rPr>
                <w:rFonts w:ascii="Arial" w:eastAsia="Calibri" w:hAnsi="Arial" w:cs="Arial"/>
                <w:sz w:val="18"/>
                <w:szCs w:val="18"/>
                <w:lang w:val="en-US"/>
              </w:rPr>
              <w:t>.513</w:t>
            </w:r>
          </w:p>
        </w:tc>
        <w:tc>
          <w:tcPr>
            <w:tcW w:w="3686" w:type="dxa"/>
            <w:gridSpan w:val="3"/>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057CB4" w:rsidRPr="00057CB4" w:rsidRDefault="00057CB4" w:rsidP="00EC7370">
            <w:pPr>
              <w:spacing w:after="200" w:line="240" w:lineRule="auto"/>
              <w:ind w:left="60" w:right="60" w:firstLine="0"/>
              <w:jc w:val="right"/>
              <w:rPr>
                <w:rFonts w:ascii="Arial" w:eastAsia="Calibri" w:hAnsi="Arial" w:cs="Arial"/>
                <w:sz w:val="18"/>
                <w:szCs w:val="18"/>
                <w:lang w:val="en-US"/>
              </w:rPr>
            </w:pPr>
            <w:r w:rsidRPr="00057CB4">
              <w:rPr>
                <w:rFonts w:ascii="Arial" w:eastAsia="Calibri" w:hAnsi="Arial" w:cs="Arial"/>
                <w:sz w:val="18"/>
                <w:szCs w:val="18"/>
                <w:lang w:val="en-US"/>
              </w:rPr>
              <w:t>1.000</w:t>
            </w:r>
          </w:p>
        </w:tc>
      </w:tr>
    </w:tbl>
    <w:p w:rsidR="00057CB4" w:rsidRPr="00057CB4" w:rsidRDefault="00057CB4" w:rsidP="00057CB4">
      <w:pPr>
        <w:spacing w:line="240" w:lineRule="auto"/>
        <w:ind w:left="0" w:right="0" w:firstLine="0"/>
        <w:jc w:val="both"/>
        <w:rPr>
          <w:rFonts w:eastAsia="Calibri" w:cs="Times New Roman"/>
          <w:b/>
          <w:i/>
          <w:szCs w:val="24"/>
        </w:rPr>
      </w:pPr>
      <w:r w:rsidRPr="00057CB4">
        <w:rPr>
          <w:rFonts w:ascii="Arial" w:eastAsia="Calibri" w:hAnsi="Arial" w:cs="Arial"/>
          <w:sz w:val="18"/>
          <w:szCs w:val="18"/>
          <w:lang w:val="en-US"/>
        </w:rPr>
        <w:t>a. Estimation terminated at iteration number 20 because maximum iterations has been reached. Final solution cannot be found.</w:t>
      </w:r>
    </w:p>
    <w:p w:rsidR="00057CB4" w:rsidRPr="00057CB4" w:rsidRDefault="00057CB4" w:rsidP="001E469A">
      <w:pPr>
        <w:spacing w:line="360" w:lineRule="auto"/>
        <w:ind w:left="0" w:right="0" w:firstLine="0"/>
        <w:jc w:val="both"/>
        <w:rPr>
          <w:rFonts w:eastAsia="Calibri" w:cs="Times New Roman"/>
          <w:i/>
          <w:sz w:val="22"/>
        </w:rPr>
      </w:pPr>
      <w:r w:rsidRPr="00057CB4">
        <w:rPr>
          <w:rFonts w:eastAsia="Calibri" w:cs="Times New Roman"/>
          <w:i/>
          <w:sz w:val="22"/>
        </w:rPr>
        <w:t>Sumber: Hasil olahan SPSS</w:t>
      </w:r>
    </w:p>
    <w:p w:rsidR="00143667" w:rsidRPr="00143667" w:rsidRDefault="00057CB4" w:rsidP="001E469A">
      <w:pPr>
        <w:spacing w:line="360" w:lineRule="auto"/>
        <w:ind w:left="0" w:right="0" w:firstLine="0"/>
        <w:jc w:val="both"/>
        <w:rPr>
          <w:rFonts w:eastAsia="Calibri" w:cs="Times New Roman"/>
          <w:i/>
          <w:sz w:val="22"/>
        </w:rPr>
      </w:pPr>
      <w:r w:rsidRPr="00057CB4">
        <w:rPr>
          <w:rFonts w:eastAsia="Calibri" w:cs="Times New Roman"/>
          <w:b/>
          <w:szCs w:val="24"/>
        </w:rPr>
        <w:tab/>
      </w:r>
      <w:r w:rsidRPr="00057CB4">
        <w:rPr>
          <w:rFonts w:eastAsia="Calibri" w:cs="Times New Roman"/>
          <w:sz w:val="22"/>
          <w:lang w:val="en-US"/>
        </w:rPr>
        <w:t xml:space="preserve">Uji ini didasarkan pada nilai 2LogL baik pada block 0 maupun block 1. Hasil pengujian model regresi diperoleh nilai -2LogL sebesar 0.000 nilai yang lebih kecil dari tingkat signifikansi penelitian sebesar 5%. Dari hasil tersebut dapat dinyatakan bahwa penambahan variabel independen berupa likuiditas, </w:t>
      </w:r>
      <w:r w:rsidRPr="00057CB4">
        <w:rPr>
          <w:rFonts w:eastAsia="Calibri" w:cs="Times New Roman"/>
          <w:i/>
          <w:sz w:val="22"/>
          <w:lang w:val="en-US"/>
        </w:rPr>
        <w:t>leverage</w:t>
      </w:r>
      <w:r w:rsidRPr="00057CB4">
        <w:rPr>
          <w:rFonts w:eastAsia="Calibri" w:cs="Times New Roman"/>
          <w:sz w:val="22"/>
          <w:lang w:val="en-US"/>
        </w:rPr>
        <w:t xml:space="preserve">, </w:t>
      </w:r>
      <w:r w:rsidRPr="00057CB4">
        <w:rPr>
          <w:rFonts w:eastAsia="Calibri" w:cs="Times New Roman"/>
          <w:i/>
          <w:sz w:val="22"/>
          <w:lang w:val="en-US"/>
        </w:rPr>
        <w:t>coverage</w:t>
      </w:r>
      <w:r w:rsidRPr="00057CB4">
        <w:rPr>
          <w:rFonts w:eastAsia="Calibri" w:cs="Times New Roman"/>
          <w:sz w:val="22"/>
          <w:lang w:val="en-US"/>
        </w:rPr>
        <w:t xml:space="preserve">, </w:t>
      </w:r>
      <w:r w:rsidRPr="00057CB4">
        <w:rPr>
          <w:rFonts w:eastAsia="Calibri" w:cs="Times New Roman"/>
          <w:i/>
          <w:sz w:val="22"/>
          <w:lang w:val="en-US"/>
        </w:rPr>
        <w:t>cash flow to debt</w:t>
      </w:r>
      <w:r w:rsidRPr="00057CB4">
        <w:rPr>
          <w:rFonts w:eastAsia="Calibri" w:cs="Times New Roman"/>
          <w:sz w:val="22"/>
          <w:lang w:val="en-US"/>
        </w:rPr>
        <w:t>, profitabilitas, umur obligasi ke dalam model penelitian dapat memperbaiki model fit</w:t>
      </w:r>
      <w:r w:rsidRPr="00057CB4">
        <w:rPr>
          <w:rFonts w:eastAsia="Calibri" w:cs="Times New Roman"/>
          <w:i/>
          <w:sz w:val="22"/>
          <w:lang w:val="en-US"/>
        </w:rPr>
        <w:t>.</w:t>
      </w:r>
    </w:p>
    <w:p w:rsidR="00057CB4" w:rsidRPr="00881F5A" w:rsidRDefault="00057CB4" w:rsidP="00881F5A">
      <w:pPr>
        <w:pStyle w:val="ListParagraph"/>
        <w:numPr>
          <w:ilvl w:val="0"/>
          <w:numId w:val="16"/>
        </w:numPr>
        <w:spacing w:line="360" w:lineRule="auto"/>
        <w:ind w:left="426" w:right="0" w:hanging="426"/>
        <w:jc w:val="both"/>
        <w:rPr>
          <w:rFonts w:eastAsia="Calibri" w:cs="Times New Roman"/>
          <w:i/>
          <w:sz w:val="22"/>
        </w:rPr>
      </w:pPr>
      <w:r w:rsidRPr="001E469A">
        <w:rPr>
          <w:rFonts w:eastAsia="Calibri" w:cs="Times New Roman"/>
          <w:i/>
          <w:sz w:val="22"/>
          <w:lang w:val="en-US"/>
        </w:rPr>
        <w:t>U</w:t>
      </w:r>
      <w:r w:rsidRPr="001E469A">
        <w:rPr>
          <w:rFonts w:eastAsia="Calibri" w:cs="Times New Roman"/>
          <w:i/>
          <w:sz w:val="22"/>
        </w:rPr>
        <w:t>j</w:t>
      </w:r>
      <w:r w:rsidRPr="001E469A">
        <w:rPr>
          <w:rFonts w:eastAsia="Calibri" w:cs="Times New Roman"/>
          <w:i/>
          <w:sz w:val="22"/>
          <w:lang w:val="en-US"/>
        </w:rPr>
        <w:t>i nilai Hosmer and Lemeshow’s Goodness of Fit Test</w:t>
      </w:r>
    </w:p>
    <w:p w:rsidR="00881F5A" w:rsidRPr="00881F5A" w:rsidRDefault="00881F5A" w:rsidP="00881F5A">
      <w:pPr>
        <w:spacing w:line="240" w:lineRule="auto"/>
        <w:ind w:left="0" w:right="0" w:firstLine="1"/>
        <w:jc w:val="center"/>
        <w:rPr>
          <w:rFonts w:eastAsia="Calibri" w:cs="Times New Roman"/>
          <w:sz w:val="22"/>
        </w:rPr>
      </w:pPr>
      <w:r w:rsidRPr="00881F5A">
        <w:rPr>
          <w:rFonts w:eastAsia="Calibri" w:cs="Times New Roman"/>
          <w:sz w:val="22"/>
        </w:rPr>
        <w:t>Tabel 4.3</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12"/>
        <w:gridCol w:w="2550"/>
        <w:gridCol w:w="2109"/>
        <w:gridCol w:w="2901"/>
      </w:tblGrid>
      <w:tr w:rsidR="00057CB4" w:rsidRPr="00057CB4" w:rsidTr="00881F5A">
        <w:trPr>
          <w:cantSplit/>
          <w:trHeight w:val="520"/>
        </w:trPr>
        <w:tc>
          <w:tcPr>
            <w:tcW w:w="9072" w:type="dxa"/>
            <w:gridSpan w:val="4"/>
            <w:tcBorders>
              <w:top w:val="nil"/>
              <w:left w:val="nil"/>
              <w:bottom w:val="nil"/>
              <w:right w:val="nil"/>
            </w:tcBorders>
            <w:shd w:val="clear" w:color="auto" w:fill="FFFFFF"/>
            <w:vAlign w:val="center"/>
            <w:hideMark/>
          </w:tcPr>
          <w:p w:rsidR="00057CB4" w:rsidRPr="00057CB4" w:rsidRDefault="00057CB4" w:rsidP="00FD6621">
            <w:pPr>
              <w:spacing w:line="240" w:lineRule="auto"/>
              <w:ind w:left="60" w:right="60" w:firstLine="0"/>
              <w:jc w:val="center"/>
              <w:rPr>
                <w:rFonts w:ascii="Arial" w:eastAsia="Calibri" w:hAnsi="Arial" w:cs="Arial"/>
                <w:sz w:val="18"/>
                <w:szCs w:val="18"/>
                <w:lang w:val="en-US"/>
              </w:rPr>
            </w:pPr>
            <w:r w:rsidRPr="00057CB4">
              <w:rPr>
                <w:rFonts w:ascii="Arial" w:eastAsia="Calibri" w:hAnsi="Arial" w:cs="Arial"/>
                <w:b/>
                <w:bCs/>
                <w:sz w:val="18"/>
                <w:szCs w:val="18"/>
                <w:lang w:val="en-US"/>
              </w:rPr>
              <w:t>Hosmer and Lemeshow Test</w:t>
            </w:r>
          </w:p>
        </w:tc>
      </w:tr>
      <w:tr w:rsidR="00057CB4" w:rsidRPr="00057CB4" w:rsidTr="00881F5A">
        <w:trPr>
          <w:cantSplit/>
          <w:trHeight w:val="330"/>
        </w:trPr>
        <w:tc>
          <w:tcPr>
            <w:tcW w:w="1512"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057CB4" w:rsidRPr="00057CB4" w:rsidRDefault="00057CB4" w:rsidP="00FD6621">
            <w:pPr>
              <w:spacing w:after="200" w:line="240" w:lineRule="auto"/>
              <w:ind w:left="60" w:right="60" w:firstLine="0"/>
              <w:rPr>
                <w:rFonts w:ascii="Arial" w:eastAsia="Calibri" w:hAnsi="Arial" w:cs="Arial"/>
                <w:sz w:val="18"/>
                <w:szCs w:val="18"/>
                <w:lang w:val="en-US"/>
              </w:rPr>
            </w:pPr>
            <w:r w:rsidRPr="00057CB4">
              <w:rPr>
                <w:rFonts w:ascii="Arial" w:eastAsia="Calibri" w:hAnsi="Arial" w:cs="Arial"/>
                <w:sz w:val="18"/>
                <w:szCs w:val="18"/>
                <w:lang w:val="en-US"/>
              </w:rPr>
              <w:t>Step</w:t>
            </w:r>
          </w:p>
        </w:tc>
        <w:tc>
          <w:tcPr>
            <w:tcW w:w="2550"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057CB4" w:rsidRPr="00057CB4" w:rsidRDefault="00057CB4" w:rsidP="00FD6621">
            <w:pPr>
              <w:spacing w:after="200" w:line="240" w:lineRule="auto"/>
              <w:ind w:left="60" w:right="60" w:firstLine="0"/>
              <w:jc w:val="center"/>
              <w:rPr>
                <w:rFonts w:ascii="Arial" w:eastAsia="Calibri" w:hAnsi="Arial" w:cs="Arial"/>
                <w:sz w:val="18"/>
                <w:szCs w:val="18"/>
                <w:lang w:val="en-US"/>
              </w:rPr>
            </w:pPr>
            <w:r w:rsidRPr="00057CB4">
              <w:rPr>
                <w:rFonts w:ascii="Arial" w:eastAsia="Calibri" w:hAnsi="Arial" w:cs="Arial"/>
                <w:sz w:val="18"/>
                <w:szCs w:val="18"/>
                <w:lang w:val="en-US"/>
              </w:rPr>
              <w:t>Chi-square</w:t>
            </w:r>
          </w:p>
        </w:tc>
        <w:tc>
          <w:tcPr>
            <w:tcW w:w="21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057CB4" w:rsidRPr="00057CB4" w:rsidRDefault="00057CB4" w:rsidP="00FD6621">
            <w:pPr>
              <w:spacing w:after="200" w:line="240" w:lineRule="auto"/>
              <w:ind w:left="60" w:right="60" w:firstLine="0"/>
              <w:jc w:val="center"/>
              <w:rPr>
                <w:rFonts w:ascii="Arial" w:eastAsia="Calibri" w:hAnsi="Arial" w:cs="Arial"/>
                <w:sz w:val="18"/>
                <w:szCs w:val="18"/>
                <w:lang w:val="en-US"/>
              </w:rPr>
            </w:pPr>
            <w:r w:rsidRPr="00057CB4">
              <w:rPr>
                <w:rFonts w:ascii="Arial" w:eastAsia="Calibri" w:hAnsi="Arial" w:cs="Arial"/>
                <w:sz w:val="18"/>
                <w:szCs w:val="18"/>
                <w:lang w:val="en-US"/>
              </w:rPr>
              <w:t>Df</w:t>
            </w:r>
          </w:p>
        </w:tc>
        <w:tc>
          <w:tcPr>
            <w:tcW w:w="2901"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057CB4" w:rsidRPr="00057CB4" w:rsidRDefault="00057CB4" w:rsidP="00FD6621">
            <w:pPr>
              <w:spacing w:after="200" w:line="240" w:lineRule="auto"/>
              <w:ind w:left="60" w:right="60" w:firstLine="0"/>
              <w:jc w:val="center"/>
              <w:rPr>
                <w:rFonts w:ascii="Arial" w:eastAsia="Calibri" w:hAnsi="Arial" w:cs="Arial"/>
                <w:sz w:val="18"/>
                <w:szCs w:val="18"/>
                <w:lang w:val="en-US"/>
              </w:rPr>
            </w:pPr>
            <w:r w:rsidRPr="00057CB4">
              <w:rPr>
                <w:rFonts w:ascii="Arial" w:eastAsia="Calibri" w:hAnsi="Arial" w:cs="Arial"/>
                <w:sz w:val="18"/>
                <w:szCs w:val="18"/>
                <w:lang w:val="en-US"/>
              </w:rPr>
              <w:t>Sig.</w:t>
            </w:r>
          </w:p>
        </w:tc>
      </w:tr>
      <w:tr w:rsidR="00057CB4" w:rsidRPr="00057CB4" w:rsidTr="00881F5A">
        <w:trPr>
          <w:cantSplit/>
          <w:trHeight w:val="294"/>
        </w:trPr>
        <w:tc>
          <w:tcPr>
            <w:tcW w:w="1512" w:type="dxa"/>
            <w:tcBorders>
              <w:top w:val="single" w:sz="18" w:space="0" w:color="000000"/>
              <w:left w:val="single" w:sz="18" w:space="0" w:color="000000"/>
              <w:bottom w:val="single" w:sz="18" w:space="0" w:color="000000"/>
              <w:right w:val="single" w:sz="18" w:space="0" w:color="000000"/>
            </w:tcBorders>
            <w:shd w:val="clear" w:color="auto" w:fill="FFFFFF"/>
            <w:hideMark/>
          </w:tcPr>
          <w:p w:rsidR="00057CB4" w:rsidRPr="00057CB4" w:rsidRDefault="00057CB4" w:rsidP="00FD6621">
            <w:pPr>
              <w:spacing w:after="200" w:line="240" w:lineRule="auto"/>
              <w:ind w:left="60" w:right="60" w:firstLine="0"/>
              <w:rPr>
                <w:rFonts w:ascii="Arial" w:eastAsia="Calibri" w:hAnsi="Arial" w:cs="Arial"/>
                <w:sz w:val="18"/>
                <w:szCs w:val="18"/>
                <w:lang w:val="en-US"/>
              </w:rPr>
            </w:pPr>
            <w:r w:rsidRPr="00057CB4">
              <w:rPr>
                <w:rFonts w:ascii="Arial" w:eastAsia="Calibri" w:hAnsi="Arial" w:cs="Arial"/>
                <w:sz w:val="18"/>
                <w:szCs w:val="18"/>
                <w:lang w:val="en-US"/>
              </w:rPr>
              <w:t>1</w:t>
            </w:r>
          </w:p>
        </w:tc>
        <w:tc>
          <w:tcPr>
            <w:tcW w:w="2550"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057CB4" w:rsidRPr="00057CB4" w:rsidRDefault="00057CB4" w:rsidP="00FD6621">
            <w:pPr>
              <w:spacing w:after="200" w:line="240" w:lineRule="auto"/>
              <w:ind w:left="60" w:right="60" w:firstLine="0"/>
              <w:jc w:val="right"/>
              <w:rPr>
                <w:rFonts w:ascii="Arial" w:eastAsia="Calibri" w:hAnsi="Arial" w:cs="Arial"/>
                <w:sz w:val="18"/>
                <w:szCs w:val="18"/>
                <w:lang w:val="en-US"/>
              </w:rPr>
            </w:pPr>
            <w:r w:rsidRPr="00057CB4">
              <w:rPr>
                <w:rFonts w:ascii="Arial" w:eastAsia="Calibri" w:hAnsi="Arial" w:cs="Arial"/>
                <w:sz w:val="18"/>
                <w:szCs w:val="18"/>
                <w:lang w:val="en-US"/>
              </w:rPr>
              <w:t>.000</w:t>
            </w:r>
          </w:p>
        </w:tc>
        <w:tc>
          <w:tcPr>
            <w:tcW w:w="2109"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057CB4" w:rsidRPr="00057CB4" w:rsidRDefault="00057CB4" w:rsidP="00FD6621">
            <w:pPr>
              <w:spacing w:after="200" w:line="240" w:lineRule="auto"/>
              <w:ind w:left="60" w:right="60" w:firstLine="0"/>
              <w:jc w:val="right"/>
              <w:rPr>
                <w:rFonts w:ascii="Arial" w:eastAsia="Calibri" w:hAnsi="Arial" w:cs="Arial"/>
                <w:sz w:val="18"/>
                <w:szCs w:val="18"/>
                <w:lang w:val="en-US"/>
              </w:rPr>
            </w:pPr>
            <w:r w:rsidRPr="00057CB4">
              <w:rPr>
                <w:rFonts w:ascii="Arial" w:eastAsia="Calibri" w:hAnsi="Arial" w:cs="Arial"/>
                <w:sz w:val="18"/>
                <w:szCs w:val="18"/>
                <w:lang w:val="en-US"/>
              </w:rPr>
              <w:t>4</w:t>
            </w:r>
          </w:p>
        </w:tc>
        <w:tc>
          <w:tcPr>
            <w:tcW w:w="2901"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057CB4" w:rsidRPr="00057CB4" w:rsidRDefault="00057CB4" w:rsidP="00FD6621">
            <w:pPr>
              <w:spacing w:after="200" w:line="240" w:lineRule="auto"/>
              <w:ind w:left="60" w:right="60" w:firstLine="0"/>
              <w:jc w:val="right"/>
              <w:rPr>
                <w:rFonts w:ascii="Arial" w:eastAsia="Calibri" w:hAnsi="Arial" w:cs="Arial"/>
                <w:sz w:val="18"/>
                <w:szCs w:val="18"/>
                <w:lang w:val="en-US"/>
              </w:rPr>
            </w:pPr>
            <w:r w:rsidRPr="00057CB4">
              <w:rPr>
                <w:rFonts w:ascii="Arial" w:eastAsia="Calibri" w:hAnsi="Arial" w:cs="Arial"/>
                <w:sz w:val="18"/>
                <w:szCs w:val="18"/>
                <w:lang w:val="en-US"/>
              </w:rPr>
              <w:t>1.000</w:t>
            </w:r>
          </w:p>
        </w:tc>
      </w:tr>
    </w:tbl>
    <w:p w:rsidR="00057CB4" w:rsidRPr="00057CB4" w:rsidRDefault="00057CB4" w:rsidP="00057CB4">
      <w:pPr>
        <w:spacing w:line="276" w:lineRule="auto"/>
        <w:ind w:left="0" w:right="0" w:firstLine="0"/>
        <w:jc w:val="both"/>
        <w:rPr>
          <w:rFonts w:eastAsia="Calibri" w:cs="Times New Roman"/>
          <w:i/>
          <w:sz w:val="22"/>
        </w:rPr>
      </w:pPr>
      <w:r w:rsidRPr="00057CB4">
        <w:rPr>
          <w:rFonts w:eastAsia="Calibri" w:cs="Times New Roman"/>
          <w:i/>
          <w:sz w:val="22"/>
        </w:rPr>
        <w:t>Sumber: Hasil olahan SPSS</w:t>
      </w:r>
      <w:r w:rsidRPr="00057CB4">
        <w:rPr>
          <w:rFonts w:eastAsia="Calibri" w:cs="Times New Roman"/>
          <w:i/>
          <w:sz w:val="22"/>
          <w:lang w:val="en-US"/>
        </w:rPr>
        <w:tab/>
      </w:r>
    </w:p>
    <w:p w:rsidR="00881F5A" w:rsidRDefault="00057CB4" w:rsidP="00881F5A">
      <w:pPr>
        <w:spacing w:line="360" w:lineRule="auto"/>
        <w:ind w:left="0" w:firstLine="0"/>
        <w:jc w:val="both"/>
        <w:rPr>
          <w:rFonts w:eastAsia="Calibri" w:cs="Times New Roman"/>
          <w:sz w:val="22"/>
        </w:rPr>
      </w:pPr>
      <w:r w:rsidRPr="00057CB4">
        <w:rPr>
          <w:rFonts w:eastAsia="Calibri" w:cs="Times New Roman"/>
          <w:szCs w:val="24"/>
        </w:rPr>
        <w:tab/>
      </w:r>
      <w:r w:rsidRPr="00057CB4">
        <w:rPr>
          <w:rFonts w:eastAsia="Calibri" w:cs="Times New Roman"/>
          <w:sz w:val="22"/>
          <w:lang w:val="en-US"/>
        </w:rPr>
        <w:t xml:space="preserve">Pada tabel tersebut terlihat bahwa besarnya nilai statistik </w:t>
      </w:r>
      <w:r w:rsidRPr="00057CB4">
        <w:rPr>
          <w:rFonts w:eastAsia="Calibri" w:cs="Times New Roman"/>
          <w:i/>
          <w:sz w:val="22"/>
          <w:lang w:val="en-US"/>
        </w:rPr>
        <w:t>Hosmer and Lemeshow’s Goodness of Fit Test</w:t>
      </w:r>
      <w:r w:rsidRPr="00057CB4">
        <w:rPr>
          <w:rFonts w:eastAsia="Calibri" w:cs="Times New Roman"/>
          <w:sz w:val="22"/>
          <w:lang w:val="en-US"/>
        </w:rPr>
        <w:t xml:space="preserve"> 0.000 dengan tingkat signifikan 1.000 yang nilainya jauh diatas 0.05. Angka tingkat signifikan &gt; 0,05 sehingga Ho diterima. Dengan demikian dapat disimpulkan bahwa model penelitian ini adalah </w:t>
      </w:r>
      <w:r w:rsidRPr="00057CB4">
        <w:rPr>
          <w:rFonts w:eastAsia="Calibri" w:cs="Times New Roman"/>
          <w:i/>
          <w:sz w:val="22"/>
          <w:lang w:val="en-US"/>
        </w:rPr>
        <w:t xml:space="preserve">fit </w:t>
      </w:r>
      <w:r w:rsidRPr="00057CB4">
        <w:rPr>
          <w:rFonts w:eastAsia="Calibri" w:cs="Times New Roman"/>
          <w:sz w:val="22"/>
          <w:lang w:val="en-US"/>
        </w:rPr>
        <w:t>dan model dapat diterima sehingga dapat digunakan untuk memprediksi observasi dalam penelitian.</w:t>
      </w:r>
    </w:p>
    <w:p w:rsidR="00057CB4" w:rsidRPr="00881F5A" w:rsidRDefault="00057CB4" w:rsidP="00881F5A">
      <w:pPr>
        <w:pStyle w:val="ListParagraph"/>
        <w:numPr>
          <w:ilvl w:val="0"/>
          <w:numId w:val="16"/>
        </w:numPr>
        <w:spacing w:line="360" w:lineRule="auto"/>
        <w:ind w:left="426" w:hanging="426"/>
        <w:jc w:val="both"/>
        <w:rPr>
          <w:rFonts w:eastAsia="Calibri" w:cs="Times New Roman"/>
          <w:i/>
          <w:sz w:val="22"/>
        </w:rPr>
      </w:pPr>
      <w:r w:rsidRPr="00881F5A">
        <w:rPr>
          <w:rFonts w:eastAsia="Calibri" w:cs="Times New Roman"/>
          <w:i/>
          <w:sz w:val="22"/>
          <w:lang w:val="en-US"/>
        </w:rPr>
        <w:t xml:space="preserve">Uji nilai Nagelkerke </w:t>
      </w:r>
      <w:r w:rsidR="00A66792" w:rsidRPr="00881F5A">
        <w:rPr>
          <w:rFonts w:eastAsia="Times New Roman" w:cs="Times New Roman"/>
          <w:i/>
          <w:sz w:val="22"/>
          <w:lang w:val="en-US"/>
        </w:rPr>
        <w:fldChar w:fldCharType="begin"/>
      </w:r>
      <w:r w:rsidRPr="00881F5A">
        <w:rPr>
          <w:rFonts w:eastAsia="Times New Roman" w:cs="Times New Roman"/>
          <w:i/>
          <w:sz w:val="22"/>
          <w:lang w:val="en-US"/>
        </w:rPr>
        <w:instrText xml:space="preserve"> QUOTE </w:instrText>
      </w:r>
      <w:r w:rsidR="00F84152">
        <w:rPr>
          <w:i/>
          <w:position w:val="-9"/>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5.6pt" equationxml="&lt;">
            <v:imagedata r:id="rId12" o:title="" chromakey="white"/>
          </v:shape>
        </w:pict>
      </w:r>
      <w:r w:rsidRPr="00881F5A">
        <w:rPr>
          <w:rFonts w:eastAsia="Times New Roman" w:cs="Times New Roman"/>
          <w:i/>
          <w:sz w:val="22"/>
          <w:lang w:val="en-US"/>
        </w:rPr>
        <w:instrText xml:space="preserve"> </w:instrText>
      </w:r>
      <w:r w:rsidR="00A66792" w:rsidRPr="00881F5A">
        <w:rPr>
          <w:rFonts w:eastAsia="Times New Roman" w:cs="Times New Roman"/>
          <w:i/>
          <w:sz w:val="22"/>
          <w:lang w:val="en-US"/>
        </w:rPr>
        <w:fldChar w:fldCharType="separate"/>
      </w:r>
      <w:r w:rsidR="00F84152">
        <w:rPr>
          <w:i/>
          <w:position w:val="-9"/>
          <w:lang w:val="en-US"/>
        </w:rPr>
        <w:pict>
          <v:shape id="_x0000_i1026" type="#_x0000_t75" style="width:12.9pt;height:15.6pt" equationxml="&lt;">
            <v:imagedata r:id="rId12" o:title="" chromakey="white"/>
          </v:shape>
        </w:pict>
      </w:r>
      <w:r w:rsidR="00A66792" w:rsidRPr="00881F5A">
        <w:rPr>
          <w:rFonts w:eastAsia="Times New Roman" w:cs="Times New Roman"/>
          <w:i/>
          <w:sz w:val="22"/>
          <w:lang w:val="en-US"/>
        </w:rPr>
        <w:fldChar w:fldCharType="end"/>
      </w:r>
    </w:p>
    <w:p w:rsidR="00881F5A" w:rsidRPr="00881F5A" w:rsidRDefault="00881F5A" w:rsidP="00881F5A">
      <w:pPr>
        <w:spacing w:line="360" w:lineRule="auto"/>
        <w:ind w:left="0"/>
        <w:jc w:val="center"/>
        <w:rPr>
          <w:rFonts w:eastAsia="Calibri" w:cs="Times New Roman"/>
          <w:sz w:val="22"/>
        </w:rPr>
      </w:pPr>
      <w:r>
        <w:rPr>
          <w:rFonts w:eastAsia="Calibri" w:cs="Times New Roman"/>
          <w:sz w:val="22"/>
        </w:rPr>
        <w:t>Tabel.4.4</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51"/>
        <w:gridCol w:w="1701"/>
        <w:gridCol w:w="2834"/>
        <w:gridCol w:w="3686"/>
      </w:tblGrid>
      <w:tr w:rsidR="00057CB4" w:rsidRPr="00057CB4" w:rsidTr="00881F5A">
        <w:trPr>
          <w:cantSplit/>
        </w:trPr>
        <w:tc>
          <w:tcPr>
            <w:tcW w:w="9072" w:type="dxa"/>
            <w:gridSpan w:val="4"/>
            <w:tcBorders>
              <w:top w:val="nil"/>
              <w:left w:val="nil"/>
              <w:bottom w:val="nil"/>
              <w:right w:val="nil"/>
            </w:tcBorders>
            <w:shd w:val="clear" w:color="auto" w:fill="FFFFFF"/>
            <w:vAlign w:val="center"/>
            <w:hideMark/>
          </w:tcPr>
          <w:p w:rsidR="00057CB4" w:rsidRPr="00057CB4" w:rsidRDefault="00057CB4" w:rsidP="00FD6621">
            <w:pPr>
              <w:spacing w:line="240" w:lineRule="auto"/>
              <w:ind w:left="60" w:right="60" w:firstLine="0"/>
              <w:jc w:val="center"/>
              <w:rPr>
                <w:rFonts w:ascii="Arial" w:eastAsia="Calibri" w:hAnsi="Arial" w:cs="Arial"/>
                <w:sz w:val="18"/>
                <w:szCs w:val="18"/>
                <w:lang w:val="en-US"/>
              </w:rPr>
            </w:pPr>
            <w:r w:rsidRPr="00057CB4">
              <w:rPr>
                <w:rFonts w:ascii="Arial" w:eastAsia="Calibri" w:hAnsi="Arial" w:cs="Arial"/>
                <w:b/>
                <w:bCs/>
                <w:sz w:val="18"/>
                <w:szCs w:val="18"/>
                <w:lang w:val="en-US"/>
              </w:rPr>
              <w:t>Model Summary</w:t>
            </w:r>
          </w:p>
        </w:tc>
      </w:tr>
      <w:tr w:rsidR="00057CB4" w:rsidRPr="00057CB4" w:rsidTr="00881F5A">
        <w:trPr>
          <w:cantSplit/>
        </w:trPr>
        <w:tc>
          <w:tcPr>
            <w:tcW w:w="851"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057CB4" w:rsidRPr="00057CB4" w:rsidRDefault="00057CB4" w:rsidP="00FD6621">
            <w:pPr>
              <w:spacing w:after="200" w:line="240" w:lineRule="auto"/>
              <w:ind w:left="60" w:right="60" w:firstLine="0"/>
              <w:rPr>
                <w:rFonts w:ascii="Arial" w:eastAsia="Calibri" w:hAnsi="Arial" w:cs="Arial"/>
                <w:sz w:val="18"/>
                <w:szCs w:val="18"/>
                <w:lang w:val="en-US"/>
              </w:rPr>
            </w:pPr>
            <w:r w:rsidRPr="00057CB4">
              <w:rPr>
                <w:rFonts w:ascii="Arial" w:eastAsia="Calibri" w:hAnsi="Arial" w:cs="Arial"/>
                <w:sz w:val="18"/>
                <w:szCs w:val="18"/>
                <w:lang w:val="en-US"/>
              </w:rPr>
              <w:t>Step</w:t>
            </w:r>
          </w:p>
        </w:tc>
        <w:tc>
          <w:tcPr>
            <w:tcW w:w="1701"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057CB4" w:rsidRPr="00057CB4" w:rsidRDefault="00057CB4" w:rsidP="00FD6621">
            <w:pPr>
              <w:spacing w:after="200" w:line="240" w:lineRule="auto"/>
              <w:ind w:left="60" w:right="60" w:firstLine="0"/>
              <w:jc w:val="center"/>
              <w:rPr>
                <w:rFonts w:ascii="Arial" w:eastAsia="Calibri" w:hAnsi="Arial" w:cs="Arial"/>
                <w:sz w:val="18"/>
                <w:szCs w:val="18"/>
                <w:lang w:val="en-US"/>
              </w:rPr>
            </w:pPr>
            <w:r w:rsidRPr="00057CB4">
              <w:rPr>
                <w:rFonts w:ascii="Arial" w:eastAsia="Calibri" w:hAnsi="Arial" w:cs="Arial"/>
                <w:sz w:val="18"/>
                <w:szCs w:val="18"/>
                <w:lang w:val="en-US"/>
              </w:rPr>
              <w:t>-2 Log likelihood</w:t>
            </w:r>
          </w:p>
        </w:tc>
        <w:tc>
          <w:tcPr>
            <w:tcW w:w="2834"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057CB4" w:rsidRPr="00057CB4" w:rsidRDefault="00057CB4" w:rsidP="00FD6621">
            <w:pPr>
              <w:spacing w:after="200" w:line="240" w:lineRule="auto"/>
              <w:ind w:left="60" w:right="60" w:firstLine="0"/>
              <w:jc w:val="center"/>
              <w:rPr>
                <w:rFonts w:ascii="Arial" w:eastAsia="Calibri" w:hAnsi="Arial" w:cs="Arial"/>
                <w:sz w:val="18"/>
                <w:szCs w:val="18"/>
                <w:lang w:val="en-US"/>
              </w:rPr>
            </w:pPr>
            <w:r w:rsidRPr="00057CB4">
              <w:rPr>
                <w:rFonts w:ascii="Arial" w:eastAsia="Calibri" w:hAnsi="Arial" w:cs="Arial"/>
                <w:sz w:val="18"/>
                <w:szCs w:val="18"/>
                <w:lang w:val="en-US"/>
              </w:rPr>
              <w:t>Cox &amp; Snell R Square</w:t>
            </w:r>
          </w:p>
        </w:tc>
        <w:tc>
          <w:tcPr>
            <w:tcW w:w="3686"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057CB4" w:rsidRPr="00057CB4" w:rsidRDefault="00057CB4" w:rsidP="00FD6621">
            <w:pPr>
              <w:spacing w:after="200" w:line="240" w:lineRule="auto"/>
              <w:ind w:left="60" w:right="60" w:firstLine="0"/>
              <w:jc w:val="center"/>
              <w:rPr>
                <w:rFonts w:ascii="Arial" w:eastAsia="Calibri" w:hAnsi="Arial" w:cs="Arial"/>
                <w:sz w:val="18"/>
                <w:szCs w:val="18"/>
                <w:lang w:val="en-US"/>
              </w:rPr>
            </w:pPr>
            <w:r w:rsidRPr="00057CB4">
              <w:rPr>
                <w:rFonts w:ascii="Arial" w:eastAsia="Calibri" w:hAnsi="Arial" w:cs="Arial"/>
                <w:sz w:val="18"/>
                <w:szCs w:val="18"/>
                <w:lang w:val="en-US"/>
              </w:rPr>
              <w:t>Nagelkerke R Square</w:t>
            </w:r>
          </w:p>
        </w:tc>
      </w:tr>
      <w:tr w:rsidR="00057CB4" w:rsidRPr="00057CB4" w:rsidTr="00881F5A">
        <w:trPr>
          <w:cantSplit/>
        </w:trPr>
        <w:tc>
          <w:tcPr>
            <w:tcW w:w="851" w:type="dxa"/>
            <w:tcBorders>
              <w:top w:val="single" w:sz="18" w:space="0" w:color="000000"/>
              <w:left w:val="single" w:sz="18" w:space="0" w:color="000000"/>
              <w:bottom w:val="single" w:sz="18" w:space="0" w:color="000000"/>
              <w:right w:val="single" w:sz="18" w:space="0" w:color="000000"/>
            </w:tcBorders>
            <w:shd w:val="clear" w:color="auto" w:fill="FFFFFF"/>
            <w:hideMark/>
          </w:tcPr>
          <w:p w:rsidR="00057CB4" w:rsidRPr="00057CB4" w:rsidRDefault="00057CB4" w:rsidP="00FD6621">
            <w:pPr>
              <w:spacing w:after="200" w:line="240" w:lineRule="auto"/>
              <w:ind w:left="60" w:right="60" w:firstLine="0"/>
              <w:rPr>
                <w:rFonts w:ascii="Arial" w:eastAsia="Calibri" w:hAnsi="Arial" w:cs="Arial"/>
                <w:sz w:val="18"/>
                <w:szCs w:val="18"/>
                <w:lang w:val="en-US"/>
              </w:rPr>
            </w:pPr>
            <w:r w:rsidRPr="00057CB4">
              <w:rPr>
                <w:rFonts w:ascii="Arial" w:eastAsia="Calibri" w:hAnsi="Arial" w:cs="Arial"/>
                <w:sz w:val="18"/>
                <w:szCs w:val="18"/>
                <w:lang w:val="en-US"/>
              </w:rPr>
              <w:t>1</w:t>
            </w:r>
          </w:p>
        </w:tc>
        <w:tc>
          <w:tcPr>
            <w:tcW w:w="1701"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057CB4" w:rsidRPr="00057CB4" w:rsidRDefault="00057CB4" w:rsidP="00FD6621">
            <w:pPr>
              <w:spacing w:after="200" w:line="240" w:lineRule="auto"/>
              <w:ind w:left="60" w:right="60" w:firstLine="0"/>
              <w:jc w:val="right"/>
              <w:rPr>
                <w:rFonts w:ascii="Arial" w:eastAsia="Calibri" w:hAnsi="Arial" w:cs="Arial"/>
                <w:sz w:val="18"/>
                <w:szCs w:val="18"/>
                <w:lang w:val="en-US"/>
              </w:rPr>
            </w:pPr>
            <w:r w:rsidRPr="00057CB4">
              <w:rPr>
                <w:rFonts w:ascii="Arial" w:eastAsia="Calibri" w:hAnsi="Arial" w:cs="Arial"/>
                <w:sz w:val="18"/>
                <w:szCs w:val="18"/>
                <w:lang w:val="en-US"/>
              </w:rPr>
              <w:t>.000</w:t>
            </w:r>
            <w:r w:rsidRPr="00057CB4">
              <w:rPr>
                <w:rFonts w:ascii="Arial" w:eastAsia="Calibri" w:hAnsi="Arial" w:cs="Arial"/>
                <w:sz w:val="18"/>
                <w:szCs w:val="18"/>
                <w:vertAlign w:val="superscript"/>
                <w:lang w:val="en-US"/>
              </w:rPr>
              <w:t>a</w:t>
            </w:r>
          </w:p>
        </w:tc>
        <w:tc>
          <w:tcPr>
            <w:tcW w:w="2834"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057CB4" w:rsidRPr="00057CB4" w:rsidRDefault="00057CB4" w:rsidP="00FD6621">
            <w:pPr>
              <w:spacing w:after="200" w:line="240" w:lineRule="auto"/>
              <w:ind w:left="60" w:right="60" w:firstLine="0"/>
              <w:jc w:val="right"/>
              <w:rPr>
                <w:rFonts w:ascii="Arial" w:eastAsia="Calibri" w:hAnsi="Arial" w:cs="Arial"/>
                <w:sz w:val="18"/>
                <w:szCs w:val="18"/>
                <w:lang w:val="en-US"/>
              </w:rPr>
            </w:pPr>
            <w:r w:rsidRPr="00057CB4">
              <w:rPr>
                <w:rFonts w:ascii="Arial" w:eastAsia="Calibri" w:hAnsi="Arial" w:cs="Arial"/>
                <w:sz w:val="18"/>
                <w:szCs w:val="18"/>
                <w:lang w:val="en-US"/>
              </w:rPr>
              <w:t>.513</w:t>
            </w:r>
          </w:p>
        </w:tc>
        <w:tc>
          <w:tcPr>
            <w:tcW w:w="3686"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057CB4" w:rsidRPr="00057CB4" w:rsidRDefault="00057CB4" w:rsidP="00FD6621">
            <w:pPr>
              <w:spacing w:after="200" w:line="240" w:lineRule="auto"/>
              <w:ind w:left="60" w:right="60" w:firstLine="0"/>
              <w:jc w:val="right"/>
              <w:rPr>
                <w:rFonts w:ascii="Arial" w:eastAsia="Calibri" w:hAnsi="Arial" w:cs="Arial"/>
                <w:sz w:val="18"/>
                <w:szCs w:val="18"/>
                <w:lang w:val="en-US"/>
              </w:rPr>
            </w:pPr>
            <w:r w:rsidRPr="00057CB4">
              <w:rPr>
                <w:rFonts w:ascii="Arial" w:eastAsia="Calibri" w:hAnsi="Arial" w:cs="Arial"/>
                <w:sz w:val="18"/>
                <w:szCs w:val="18"/>
                <w:lang w:val="en-US"/>
              </w:rPr>
              <w:t>1.000</w:t>
            </w:r>
          </w:p>
        </w:tc>
      </w:tr>
    </w:tbl>
    <w:p w:rsidR="00057CB4" w:rsidRPr="00057CB4" w:rsidRDefault="00057CB4" w:rsidP="00057CB4">
      <w:pPr>
        <w:spacing w:line="240" w:lineRule="auto"/>
        <w:ind w:left="0" w:right="0" w:firstLine="0"/>
        <w:jc w:val="both"/>
        <w:rPr>
          <w:rFonts w:eastAsia="Calibri" w:cs="Times New Roman"/>
          <w:b/>
          <w:i/>
          <w:szCs w:val="24"/>
        </w:rPr>
      </w:pPr>
      <w:r w:rsidRPr="00057CB4">
        <w:rPr>
          <w:rFonts w:ascii="Arial" w:eastAsia="Calibri" w:hAnsi="Arial" w:cs="Arial"/>
          <w:sz w:val="18"/>
          <w:szCs w:val="18"/>
          <w:lang w:val="en-US"/>
        </w:rPr>
        <w:t>a. Estimation terminated at iteration number 20 because maximum iterations has been reached. Final solution cannot be found.</w:t>
      </w:r>
      <w:r w:rsidRPr="00057CB4">
        <w:rPr>
          <w:rFonts w:eastAsia="Calibri" w:cs="Times New Roman"/>
          <w:b/>
          <w:i/>
          <w:szCs w:val="24"/>
        </w:rPr>
        <w:tab/>
      </w:r>
    </w:p>
    <w:p w:rsidR="00057CB4" w:rsidRPr="00057CB4" w:rsidRDefault="00057CB4" w:rsidP="00057CB4">
      <w:pPr>
        <w:spacing w:line="276" w:lineRule="auto"/>
        <w:ind w:left="0" w:right="0" w:firstLine="0"/>
        <w:jc w:val="both"/>
        <w:rPr>
          <w:rFonts w:eastAsia="Calibri" w:cs="Times New Roman"/>
          <w:i/>
          <w:sz w:val="22"/>
        </w:rPr>
      </w:pPr>
      <w:r w:rsidRPr="00057CB4">
        <w:rPr>
          <w:rFonts w:eastAsia="Calibri" w:cs="Times New Roman"/>
          <w:i/>
          <w:sz w:val="22"/>
        </w:rPr>
        <w:t>Sumber: Hasil olahan SPSS</w:t>
      </w:r>
    </w:p>
    <w:p w:rsidR="00881F5A" w:rsidRPr="00FC6A51" w:rsidRDefault="00057CB4" w:rsidP="00FC6A51">
      <w:pPr>
        <w:tabs>
          <w:tab w:val="left" w:pos="709"/>
        </w:tabs>
        <w:spacing w:line="360" w:lineRule="auto"/>
        <w:ind w:left="0" w:right="0" w:firstLine="0"/>
        <w:jc w:val="both"/>
        <w:rPr>
          <w:rFonts w:eastAsia="Calibri" w:cs="Times New Roman"/>
          <w:szCs w:val="24"/>
        </w:rPr>
      </w:pPr>
      <w:r w:rsidRPr="00057CB4">
        <w:rPr>
          <w:rFonts w:eastAsia="Calibri" w:cs="Times New Roman"/>
          <w:szCs w:val="24"/>
          <w:lang w:val="en-US"/>
        </w:rPr>
        <w:tab/>
      </w:r>
      <w:r w:rsidRPr="00057CB4">
        <w:rPr>
          <w:rFonts w:eastAsia="Calibri" w:cs="Times New Roman"/>
          <w:szCs w:val="24"/>
          <w:lang w:val="en-US"/>
        </w:rPr>
        <w:tab/>
      </w:r>
      <w:r w:rsidRPr="00057CB4">
        <w:rPr>
          <w:rFonts w:eastAsia="Calibri" w:cs="Times New Roman"/>
          <w:sz w:val="22"/>
          <w:lang w:val="en-US"/>
        </w:rPr>
        <w:t xml:space="preserve">Hasil pengujian nilai </w:t>
      </w:r>
      <w:r w:rsidRPr="00057CB4">
        <w:rPr>
          <w:rFonts w:eastAsia="Calibri" w:cs="Times New Roman"/>
          <w:i/>
          <w:sz w:val="22"/>
          <w:lang w:val="en-US"/>
        </w:rPr>
        <w:t>Nagelkerke</w:t>
      </w:r>
      <w:r w:rsidRPr="00057CB4">
        <w:rPr>
          <w:rFonts w:eastAsia="Calibri" w:cs="Times New Roman"/>
          <w:sz w:val="22"/>
          <w:lang w:val="en-US"/>
        </w:rPr>
        <w:t xml:space="preserve"> </w:t>
      </w:r>
      <w:r w:rsidR="00A66792" w:rsidRPr="00057CB4">
        <w:rPr>
          <w:rFonts w:eastAsia="Times New Roman" w:cs="Times New Roman"/>
          <w:sz w:val="22"/>
          <w:lang w:val="en-US"/>
        </w:rPr>
        <w:fldChar w:fldCharType="begin"/>
      </w:r>
      <w:r w:rsidRPr="00057CB4">
        <w:rPr>
          <w:rFonts w:eastAsia="Times New Roman" w:cs="Times New Roman"/>
          <w:sz w:val="22"/>
          <w:lang w:val="en-US"/>
        </w:rPr>
        <w:instrText xml:space="preserve"> QUOTE </w:instrText>
      </w:r>
      <w:r w:rsidR="00F84152">
        <w:rPr>
          <w:rFonts w:eastAsia="Calibri" w:cs="Times New Roman"/>
          <w:position w:val="-9"/>
          <w:sz w:val="22"/>
          <w:lang w:val="en-US"/>
        </w:rPr>
        <w:pict>
          <v:shape id="_x0000_i1027" type="#_x0000_t75" style="width:12.9pt;height:14.95pt" equationxml="&lt;">
            <v:imagedata r:id="rId13" o:title="" chromakey="white"/>
          </v:shape>
        </w:pict>
      </w:r>
      <w:r w:rsidRPr="00057CB4">
        <w:rPr>
          <w:rFonts w:eastAsia="Times New Roman" w:cs="Times New Roman"/>
          <w:sz w:val="22"/>
          <w:lang w:val="en-US"/>
        </w:rPr>
        <w:instrText xml:space="preserve"> </w:instrText>
      </w:r>
      <w:r w:rsidR="00A66792" w:rsidRPr="00057CB4">
        <w:rPr>
          <w:rFonts w:eastAsia="Times New Roman" w:cs="Times New Roman"/>
          <w:sz w:val="22"/>
          <w:lang w:val="en-US"/>
        </w:rPr>
        <w:fldChar w:fldCharType="separate"/>
      </w:r>
      <w:r w:rsidR="00F84152">
        <w:rPr>
          <w:rFonts w:eastAsia="Calibri" w:cs="Times New Roman"/>
          <w:position w:val="-9"/>
          <w:sz w:val="22"/>
          <w:lang w:val="en-US"/>
        </w:rPr>
        <w:pict>
          <v:shape id="_x0000_i1028" type="#_x0000_t75" style="width:12.9pt;height:14.95pt" equationxml="&lt;">
            <v:imagedata r:id="rId13" o:title="" chromakey="white"/>
          </v:shape>
        </w:pict>
      </w:r>
      <w:r w:rsidR="00A66792" w:rsidRPr="00057CB4">
        <w:rPr>
          <w:rFonts w:eastAsia="Times New Roman" w:cs="Times New Roman"/>
          <w:sz w:val="22"/>
          <w:lang w:val="en-US"/>
        </w:rPr>
        <w:fldChar w:fldCharType="end"/>
      </w:r>
      <w:r w:rsidRPr="00057CB4">
        <w:rPr>
          <w:rFonts w:eastAsia="Times New Roman" w:cs="Times New Roman"/>
          <w:sz w:val="22"/>
          <w:lang w:val="en-US"/>
        </w:rPr>
        <w:t xml:space="preserve"> dalam penelitian ini adalah sebesar 1.000. Hasil pengujian ini berarti variabilitas variabel dependen yaitu peringkat obligasi dapat dijelaskan oleh variabel independen </w:t>
      </w:r>
      <w:r w:rsidRPr="00057CB4">
        <w:rPr>
          <w:rFonts w:eastAsia="Calibri" w:cs="Times New Roman"/>
          <w:sz w:val="22"/>
          <w:lang w:val="en-US"/>
        </w:rPr>
        <w:t xml:space="preserve">likuiditas, </w:t>
      </w:r>
      <w:r w:rsidRPr="00057CB4">
        <w:rPr>
          <w:rFonts w:eastAsia="Calibri" w:cs="Times New Roman"/>
          <w:i/>
          <w:sz w:val="22"/>
          <w:lang w:val="en-US"/>
        </w:rPr>
        <w:t>leverage</w:t>
      </w:r>
      <w:r w:rsidRPr="00057CB4">
        <w:rPr>
          <w:rFonts w:eastAsia="Calibri" w:cs="Times New Roman"/>
          <w:sz w:val="22"/>
          <w:lang w:val="en-US"/>
        </w:rPr>
        <w:t xml:space="preserve">, </w:t>
      </w:r>
      <w:r w:rsidRPr="00057CB4">
        <w:rPr>
          <w:rFonts w:eastAsia="Calibri" w:cs="Times New Roman"/>
          <w:i/>
          <w:sz w:val="22"/>
          <w:lang w:val="en-US"/>
        </w:rPr>
        <w:t>coverage</w:t>
      </w:r>
      <w:r w:rsidRPr="00057CB4">
        <w:rPr>
          <w:rFonts w:eastAsia="Calibri" w:cs="Times New Roman"/>
          <w:sz w:val="22"/>
          <w:lang w:val="en-US"/>
        </w:rPr>
        <w:t xml:space="preserve">, </w:t>
      </w:r>
      <w:r w:rsidRPr="00057CB4">
        <w:rPr>
          <w:rFonts w:eastAsia="Calibri" w:cs="Times New Roman"/>
          <w:i/>
          <w:sz w:val="22"/>
          <w:lang w:val="en-US"/>
        </w:rPr>
        <w:t>cash flow to debt</w:t>
      </w:r>
      <w:r w:rsidRPr="00057CB4">
        <w:rPr>
          <w:rFonts w:eastAsia="Calibri" w:cs="Times New Roman"/>
          <w:sz w:val="22"/>
          <w:lang w:val="en-US"/>
        </w:rPr>
        <w:t xml:space="preserve">, profitabilitas, </w:t>
      </w:r>
      <w:r w:rsidRPr="00057CB4">
        <w:rPr>
          <w:rFonts w:eastAsia="Calibri" w:cs="Times New Roman"/>
          <w:sz w:val="22"/>
        </w:rPr>
        <w:t xml:space="preserve">dan </w:t>
      </w:r>
      <w:r w:rsidRPr="00057CB4">
        <w:rPr>
          <w:rFonts w:eastAsia="Calibri" w:cs="Times New Roman"/>
          <w:sz w:val="22"/>
          <w:lang w:val="en-US"/>
        </w:rPr>
        <w:t>umur obligasi. Sementara itu, variabilitas sisanya dijelaskan oleh variabel lain yang tidak dimasukkan dalam model penelitian ini</w:t>
      </w:r>
      <w:r w:rsidRPr="00057CB4">
        <w:rPr>
          <w:rFonts w:eastAsia="Calibri" w:cs="Times New Roman"/>
          <w:szCs w:val="24"/>
          <w:lang w:val="en-US"/>
        </w:rPr>
        <w:t>.</w:t>
      </w:r>
    </w:p>
    <w:p w:rsidR="00057CB4" w:rsidRPr="00881F5A" w:rsidRDefault="00FD6621" w:rsidP="00881F5A">
      <w:pPr>
        <w:pStyle w:val="ListParagraph"/>
        <w:numPr>
          <w:ilvl w:val="0"/>
          <w:numId w:val="16"/>
        </w:numPr>
        <w:spacing w:line="360" w:lineRule="auto"/>
        <w:ind w:left="426" w:right="0" w:hanging="426"/>
        <w:jc w:val="both"/>
        <w:rPr>
          <w:rFonts w:eastAsia="Calibri" w:cs="Times New Roman"/>
          <w:i/>
          <w:szCs w:val="24"/>
        </w:rPr>
      </w:pPr>
      <w:r w:rsidRPr="00881F5A">
        <w:rPr>
          <w:rFonts w:cs="Times New Roman"/>
          <w:i/>
          <w:sz w:val="22"/>
          <w:lang w:val="en-US"/>
        </w:rPr>
        <w:t>Uji Signifikansi Parsial (Uji t)</w:t>
      </w:r>
    </w:p>
    <w:p w:rsidR="00881F5A" w:rsidRPr="00143667" w:rsidRDefault="00881F5A" w:rsidP="00881F5A">
      <w:pPr>
        <w:spacing w:line="360" w:lineRule="auto"/>
        <w:ind w:left="0" w:right="0" w:firstLine="1"/>
        <w:jc w:val="center"/>
        <w:rPr>
          <w:rFonts w:eastAsia="Calibri" w:cs="Times New Roman"/>
          <w:sz w:val="22"/>
        </w:rPr>
      </w:pPr>
      <w:r w:rsidRPr="00143667">
        <w:rPr>
          <w:rFonts w:eastAsia="Calibri" w:cs="Times New Roman"/>
          <w:sz w:val="22"/>
        </w:rPr>
        <w:t>Tabel 4.5</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2268"/>
        <w:gridCol w:w="1015"/>
        <w:gridCol w:w="970"/>
        <w:gridCol w:w="1276"/>
        <w:gridCol w:w="992"/>
        <w:gridCol w:w="1984"/>
      </w:tblGrid>
      <w:tr w:rsidR="00FD6621" w:rsidRPr="00FD6621" w:rsidTr="00881F5A">
        <w:trPr>
          <w:cantSplit/>
        </w:trPr>
        <w:tc>
          <w:tcPr>
            <w:tcW w:w="9072" w:type="dxa"/>
            <w:gridSpan w:val="7"/>
            <w:tcBorders>
              <w:top w:val="nil"/>
              <w:left w:val="nil"/>
              <w:bottom w:val="nil"/>
              <w:right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eastAsia="Calibri" w:cs="Times New Roman"/>
                <w:szCs w:val="24"/>
              </w:rPr>
            </w:pPr>
            <w:r w:rsidRPr="00FD6621">
              <w:rPr>
                <w:rFonts w:eastAsia="Calibri" w:cs="Times New Roman"/>
                <w:b/>
                <w:bCs/>
                <w:szCs w:val="24"/>
              </w:rPr>
              <w:t>Coefficients</w:t>
            </w:r>
            <w:r w:rsidRPr="00FD6621">
              <w:rPr>
                <w:rFonts w:eastAsia="Calibri" w:cs="Times New Roman"/>
                <w:b/>
                <w:bCs/>
                <w:szCs w:val="24"/>
                <w:vertAlign w:val="superscript"/>
              </w:rPr>
              <w:t>a</w:t>
            </w:r>
          </w:p>
        </w:tc>
      </w:tr>
      <w:tr w:rsidR="00FD6621" w:rsidRPr="00FD6621" w:rsidTr="00881F5A">
        <w:trPr>
          <w:cantSplit/>
        </w:trPr>
        <w:tc>
          <w:tcPr>
            <w:tcW w:w="2835" w:type="dxa"/>
            <w:gridSpan w:val="2"/>
            <w:vMerge w:val="restart"/>
            <w:tcBorders>
              <w:top w:val="single" w:sz="16" w:space="0" w:color="000000"/>
              <w:left w:val="single" w:sz="16" w:space="0" w:color="000000"/>
              <w:bottom w:val="nil"/>
              <w:right w:val="nil"/>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Model</w:t>
            </w:r>
          </w:p>
        </w:tc>
        <w:tc>
          <w:tcPr>
            <w:tcW w:w="1985" w:type="dxa"/>
            <w:gridSpan w:val="2"/>
            <w:tcBorders>
              <w:top w:val="single" w:sz="16" w:space="0" w:color="000000"/>
              <w:left w:val="single" w:sz="16" w:space="0" w:color="000000"/>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Unstandardized Coefficients</w:t>
            </w:r>
          </w:p>
        </w:tc>
        <w:tc>
          <w:tcPr>
            <w:tcW w:w="1276" w:type="dxa"/>
            <w:tcBorders>
              <w:top w:val="single" w:sz="16" w:space="0" w:color="000000"/>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Standardized Coefficients</w:t>
            </w:r>
          </w:p>
        </w:tc>
        <w:tc>
          <w:tcPr>
            <w:tcW w:w="992" w:type="dxa"/>
            <w:vMerge w:val="restart"/>
            <w:tcBorders>
              <w:top w:val="single" w:sz="16" w:space="0" w:color="000000"/>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T</w:t>
            </w:r>
          </w:p>
        </w:tc>
        <w:tc>
          <w:tcPr>
            <w:tcW w:w="1984" w:type="dxa"/>
            <w:vMerge w:val="restart"/>
            <w:tcBorders>
              <w:top w:val="single" w:sz="16" w:space="0" w:color="000000"/>
              <w:right w:val="single" w:sz="16" w:space="0" w:color="000000"/>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Sig.</w:t>
            </w:r>
          </w:p>
        </w:tc>
      </w:tr>
      <w:tr w:rsidR="00FD6621" w:rsidRPr="00FD6621" w:rsidTr="00881F5A">
        <w:trPr>
          <w:cantSplit/>
        </w:trPr>
        <w:tc>
          <w:tcPr>
            <w:tcW w:w="2835" w:type="dxa"/>
            <w:gridSpan w:val="2"/>
            <w:vMerge/>
            <w:tcBorders>
              <w:top w:val="single" w:sz="16" w:space="0" w:color="000000"/>
              <w:left w:val="single" w:sz="16" w:space="0" w:color="000000"/>
              <w:bottom w:val="nil"/>
              <w:right w:val="nil"/>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c>
          <w:tcPr>
            <w:tcW w:w="1015" w:type="dxa"/>
            <w:tcBorders>
              <w:left w:val="single" w:sz="16" w:space="0" w:color="000000"/>
              <w:bottom w:val="single" w:sz="16" w:space="0" w:color="000000"/>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B</w:t>
            </w:r>
          </w:p>
        </w:tc>
        <w:tc>
          <w:tcPr>
            <w:tcW w:w="970" w:type="dxa"/>
            <w:tcBorders>
              <w:bottom w:val="single" w:sz="16" w:space="0" w:color="000000"/>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Std. Error</w:t>
            </w:r>
          </w:p>
        </w:tc>
        <w:tc>
          <w:tcPr>
            <w:tcW w:w="1276" w:type="dxa"/>
            <w:tcBorders>
              <w:bottom w:val="single" w:sz="16" w:space="0" w:color="000000"/>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Beta</w:t>
            </w:r>
          </w:p>
        </w:tc>
        <w:tc>
          <w:tcPr>
            <w:tcW w:w="992" w:type="dxa"/>
            <w:vMerge/>
            <w:tcBorders>
              <w:top w:val="single" w:sz="16" w:space="0" w:color="000000"/>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c>
          <w:tcPr>
            <w:tcW w:w="1984" w:type="dxa"/>
            <w:vMerge/>
            <w:tcBorders>
              <w:top w:val="single" w:sz="16" w:space="0" w:color="000000"/>
              <w:right w:val="single" w:sz="16" w:space="0" w:color="000000"/>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r>
      <w:tr w:rsidR="00FD6621" w:rsidRPr="00FD6621" w:rsidTr="00881F5A">
        <w:trPr>
          <w:cantSplit/>
          <w:trHeight w:val="88"/>
        </w:trPr>
        <w:tc>
          <w:tcPr>
            <w:tcW w:w="567" w:type="dxa"/>
            <w:vMerge w:val="restart"/>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tabs>
                <w:tab w:val="left" w:pos="709"/>
              </w:tabs>
              <w:spacing w:line="240" w:lineRule="auto"/>
              <w:ind w:left="0" w:right="0" w:firstLine="0"/>
              <w:rPr>
                <w:rFonts w:ascii="Arial" w:eastAsia="Calibri" w:hAnsi="Arial" w:cs="Arial"/>
                <w:sz w:val="18"/>
                <w:szCs w:val="18"/>
              </w:rPr>
            </w:pPr>
            <w:r w:rsidRPr="00FD6621">
              <w:rPr>
                <w:rFonts w:ascii="Arial" w:eastAsia="Calibri" w:hAnsi="Arial" w:cs="Arial"/>
                <w:sz w:val="18"/>
                <w:szCs w:val="18"/>
              </w:rPr>
              <w:t>1</w:t>
            </w:r>
          </w:p>
        </w:tc>
        <w:tc>
          <w:tcPr>
            <w:tcW w:w="2268" w:type="dxa"/>
            <w:tcBorders>
              <w:top w:val="single" w:sz="16" w:space="0" w:color="000000"/>
              <w:left w:val="nil"/>
              <w:bottom w:val="nil"/>
              <w:right w:val="single" w:sz="16" w:space="0" w:color="000000"/>
            </w:tcBorders>
            <w:shd w:val="clear" w:color="auto" w:fill="FFFFFF"/>
          </w:tcPr>
          <w:p w:rsidR="00FD6621" w:rsidRPr="00FD6621" w:rsidRDefault="00FD6621" w:rsidP="00FD6621">
            <w:pPr>
              <w:tabs>
                <w:tab w:val="left" w:pos="709"/>
              </w:tabs>
              <w:spacing w:line="240" w:lineRule="auto"/>
              <w:ind w:left="0" w:right="0" w:firstLine="0"/>
              <w:rPr>
                <w:rFonts w:ascii="Arial" w:eastAsia="Calibri" w:hAnsi="Arial" w:cs="Arial"/>
                <w:sz w:val="18"/>
                <w:szCs w:val="18"/>
              </w:rPr>
            </w:pPr>
            <w:r w:rsidRPr="00FD6621">
              <w:rPr>
                <w:rFonts w:ascii="Arial" w:eastAsia="Calibri" w:hAnsi="Arial" w:cs="Arial"/>
                <w:sz w:val="18"/>
                <w:szCs w:val="18"/>
              </w:rPr>
              <w:t>(Constant)</w:t>
            </w:r>
          </w:p>
        </w:tc>
        <w:tc>
          <w:tcPr>
            <w:tcW w:w="1015" w:type="dxa"/>
            <w:tcBorders>
              <w:top w:val="single" w:sz="16" w:space="0" w:color="000000"/>
              <w:left w:val="single" w:sz="16" w:space="0" w:color="000000"/>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,998</w:t>
            </w:r>
          </w:p>
        </w:tc>
        <w:tc>
          <w:tcPr>
            <w:tcW w:w="970" w:type="dxa"/>
            <w:tcBorders>
              <w:top w:val="single" w:sz="16" w:space="0" w:color="000000"/>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,077</w:t>
            </w:r>
          </w:p>
        </w:tc>
        <w:tc>
          <w:tcPr>
            <w:tcW w:w="1276" w:type="dxa"/>
            <w:tcBorders>
              <w:top w:val="single" w:sz="16" w:space="0" w:color="000000"/>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c>
          <w:tcPr>
            <w:tcW w:w="992" w:type="dxa"/>
            <w:tcBorders>
              <w:top w:val="single" w:sz="16" w:space="0" w:color="000000"/>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12,973</w:t>
            </w:r>
          </w:p>
        </w:tc>
        <w:tc>
          <w:tcPr>
            <w:tcW w:w="1984" w:type="dxa"/>
            <w:tcBorders>
              <w:top w:val="single" w:sz="16" w:space="0" w:color="000000"/>
              <w:bottom w:val="nil"/>
              <w:right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,000</w:t>
            </w:r>
          </w:p>
        </w:tc>
      </w:tr>
      <w:tr w:rsidR="00FD6621" w:rsidRPr="00FD6621" w:rsidTr="00881F5A">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c>
          <w:tcPr>
            <w:tcW w:w="2268" w:type="dxa"/>
            <w:tcBorders>
              <w:top w:val="nil"/>
              <w:left w:val="nil"/>
              <w:bottom w:val="nil"/>
              <w:right w:val="single" w:sz="16" w:space="0" w:color="000000"/>
            </w:tcBorders>
            <w:shd w:val="clear" w:color="auto" w:fill="FFFFFF"/>
          </w:tcPr>
          <w:p w:rsidR="00FD6621" w:rsidRPr="00FD6621" w:rsidRDefault="00FD6621" w:rsidP="00FD6621">
            <w:pPr>
              <w:tabs>
                <w:tab w:val="left" w:pos="709"/>
              </w:tabs>
              <w:spacing w:line="240" w:lineRule="auto"/>
              <w:ind w:left="0" w:right="0" w:firstLine="0"/>
              <w:rPr>
                <w:rFonts w:ascii="Arial" w:eastAsia="Calibri" w:hAnsi="Arial" w:cs="Arial"/>
                <w:sz w:val="18"/>
                <w:szCs w:val="18"/>
              </w:rPr>
            </w:pPr>
            <w:r w:rsidRPr="00FD6621">
              <w:rPr>
                <w:rFonts w:ascii="Arial" w:eastAsia="Calibri" w:hAnsi="Arial" w:cs="Arial"/>
                <w:sz w:val="18"/>
                <w:szCs w:val="18"/>
              </w:rPr>
              <w:t>Rasio Likuiditas</w:t>
            </w:r>
          </w:p>
        </w:tc>
        <w:tc>
          <w:tcPr>
            <w:tcW w:w="1015" w:type="dxa"/>
            <w:tcBorders>
              <w:top w:val="nil"/>
              <w:left w:val="single" w:sz="16" w:space="0" w:color="000000"/>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,000</w:t>
            </w:r>
          </w:p>
        </w:tc>
        <w:tc>
          <w:tcPr>
            <w:tcW w:w="970"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,001</w:t>
            </w:r>
          </w:p>
        </w:tc>
        <w:tc>
          <w:tcPr>
            <w:tcW w:w="1276"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,025</w:t>
            </w:r>
          </w:p>
        </w:tc>
        <w:tc>
          <w:tcPr>
            <w:tcW w:w="992"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,174</w:t>
            </w:r>
          </w:p>
        </w:tc>
        <w:tc>
          <w:tcPr>
            <w:tcW w:w="1984" w:type="dxa"/>
            <w:tcBorders>
              <w:top w:val="nil"/>
              <w:bottom w:val="nil"/>
              <w:right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,862</w:t>
            </w:r>
          </w:p>
        </w:tc>
      </w:tr>
      <w:tr w:rsidR="00FD6621" w:rsidRPr="00FD6621" w:rsidTr="00881F5A">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c>
          <w:tcPr>
            <w:tcW w:w="2268" w:type="dxa"/>
            <w:tcBorders>
              <w:top w:val="nil"/>
              <w:left w:val="nil"/>
              <w:bottom w:val="nil"/>
              <w:right w:val="single" w:sz="16" w:space="0" w:color="000000"/>
            </w:tcBorders>
            <w:shd w:val="clear" w:color="auto" w:fill="FFFFFF"/>
          </w:tcPr>
          <w:p w:rsidR="00FD6621" w:rsidRPr="00FD6621" w:rsidRDefault="00FD6621" w:rsidP="00FD6621">
            <w:pPr>
              <w:tabs>
                <w:tab w:val="left" w:pos="709"/>
              </w:tabs>
              <w:spacing w:line="240" w:lineRule="auto"/>
              <w:ind w:left="0" w:right="0" w:firstLine="0"/>
              <w:rPr>
                <w:rFonts w:ascii="Arial" w:eastAsia="Calibri" w:hAnsi="Arial" w:cs="Arial"/>
                <w:sz w:val="18"/>
                <w:szCs w:val="18"/>
              </w:rPr>
            </w:pPr>
            <w:r w:rsidRPr="00FD6621">
              <w:rPr>
                <w:rFonts w:ascii="Arial" w:eastAsia="Calibri" w:hAnsi="Arial" w:cs="Arial"/>
                <w:sz w:val="18"/>
                <w:szCs w:val="18"/>
              </w:rPr>
              <w:t>Rasio Leverage</w:t>
            </w:r>
          </w:p>
        </w:tc>
        <w:tc>
          <w:tcPr>
            <w:tcW w:w="1015" w:type="dxa"/>
            <w:tcBorders>
              <w:top w:val="nil"/>
              <w:left w:val="single" w:sz="16" w:space="0" w:color="000000"/>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-,001</w:t>
            </w:r>
          </w:p>
        </w:tc>
        <w:tc>
          <w:tcPr>
            <w:tcW w:w="970"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,001</w:t>
            </w:r>
          </w:p>
        </w:tc>
        <w:tc>
          <w:tcPr>
            <w:tcW w:w="1276"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-,422</w:t>
            </w:r>
          </w:p>
        </w:tc>
        <w:tc>
          <w:tcPr>
            <w:tcW w:w="992"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-2,611</w:t>
            </w:r>
          </w:p>
        </w:tc>
        <w:tc>
          <w:tcPr>
            <w:tcW w:w="1984" w:type="dxa"/>
            <w:tcBorders>
              <w:top w:val="nil"/>
              <w:bottom w:val="nil"/>
              <w:right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,012</w:t>
            </w:r>
          </w:p>
        </w:tc>
      </w:tr>
      <w:tr w:rsidR="00FD6621" w:rsidRPr="00FD6621" w:rsidTr="00881F5A">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c>
          <w:tcPr>
            <w:tcW w:w="2268" w:type="dxa"/>
            <w:tcBorders>
              <w:top w:val="nil"/>
              <w:left w:val="nil"/>
              <w:bottom w:val="nil"/>
              <w:right w:val="single" w:sz="16" w:space="0" w:color="000000"/>
            </w:tcBorders>
            <w:shd w:val="clear" w:color="auto" w:fill="FFFFFF"/>
          </w:tcPr>
          <w:p w:rsidR="00FD6621" w:rsidRPr="00FD6621" w:rsidRDefault="00FD6621" w:rsidP="00FD6621">
            <w:pPr>
              <w:tabs>
                <w:tab w:val="left" w:pos="709"/>
              </w:tabs>
              <w:spacing w:line="240" w:lineRule="auto"/>
              <w:ind w:left="0" w:right="0" w:firstLine="0"/>
              <w:rPr>
                <w:rFonts w:ascii="Arial" w:eastAsia="Calibri" w:hAnsi="Arial" w:cs="Arial"/>
                <w:sz w:val="18"/>
                <w:szCs w:val="18"/>
              </w:rPr>
            </w:pPr>
            <w:r w:rsidRPr="00FD6621">
              <w:rPr>
                <w:rFonts w:ascii="Arial" w:eastAsia="Calibri" w:hAnsi="Arial" w:cs="Arial"/>
                <w:sz w:val="18"/>
                <w:szCs w:val="18"/>
              </w:rPr>
              <w:t>Rasio Coverage</w:t>
            </w:r>
          </w:p>
        </w:tc>
        <w:tc>
          <w:tcPr>
            <w:tcW w:w="1015" w:type="dxa"/>
            <w:tcBorders>
              <w:top w:val="nil"/>
              <w:left w:val="single" w:sz="16" w:space="0" w:color="000000"/>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,000</w:t>
            </w:r>
          </w:p>
        </w:tc>
        <w:tc>
          <w:tcPr>
            <w:tcW w:w="970"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,000</w:t>
            </w:r>
          </w:p>
        </w:tc>
        <w:tc>
          <w:tcPr>
            <w:tcW w:w="1276"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,154</w:t>
            </w:r>
          </w:p>
        </w:tc>
        <w:tc>
          <w:tcPr>
            <w:tcW w:w="992"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1,215</w:t>
            </w:r>
          </w:p>
        </w:tc>
        <w:tc>
          <w:tcPr>
            <w:tcW w:w="1984" w:type="dxa"/>
            <w:tcBorders>
              <w:top w:val="nil"/>
              <w:bottom w:val="nil"/>
              <w:right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,230</w:t>
            </w:r>
          </w:p>
        </w:tc>
      </w:tr>
      <w:tr w:rsidR="00FD6621" w:rsidRPr="00FD6621" w:rsidTr="00881F5A">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c>
          <w:tcPr>
            <w:tcW w:w="2268" w:type="dxa"/>
            <w:tcBorders>
              <w:top w:val="nil"/>
              <w:left w:val="nil"/>
              <w:bottom w:val="nil"/>
              <w:right w:val="single" w:sz="16" w:space="0" w:color="000000"/>
            </w:tcBorders>
            <w:shd w:val="clear" w:color="auto" w:fill="FFFFFF"/>
          </w:tcPr>
          <w:p w:rsidR="00FD6621" w:rsidRPr="00FD6621" w:rsidRDefault="00FD6621" w:rsidP="00FD6621">
            <w:pPr>
              <w:tabs>
                <w:tab w:val="left" w:pos="709"/>
              </w:tabs>
              <w:spacing w:line="240" w:lineRule="auto"/>
              <w:ind w:left="0" w:right="0" w:firstLine="0"/>
              <w:rPr>
                <w:rFonts w:ascii="Arial" w:eastAsia="Calibri" w:hAnsi="Arial" w:cs="Arial"/>
                <w:sz w:val="18"/>
                <w:szCs w:val="18"/>
              </w:rPr>
            </w:pPr>
            <w:r w:rsidRPr="00FD6621">
              <w:rPr>
                <w:rFonts w:ascii="Arial" w:eastAsia="Calibri" w:hAnsi="Arial" w:cs="Arial"/>
                <w:sz w:val="18"/>
                <w:szCs w:val="18"/>
              </w:rPr>
              <w:t>Rasio Cash flow to debt</w:t>
            </w:r>
          </w:p>
        </w:tc>
        <w:tc>
          <w:tcPr>
            <w:tcW w:w="1015" w:type="dxa"/>
            <w:tcBorders>
              <w:top w:val="nil"/>
              <w:left w:val="single" w:sz="16" w:space="0" w:color="000000"/>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-,102</w:t>
            </w:r>
          </w:p>
        </w:tc>
        <w:tc>
          <w:tcPr>
            <w:tcW w:w="970"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,255</w:t>
            </w:r>
          </w:p>
        </w:tc>
        <w:tc>
          <w:tcPr>
            <w:tcW w:w="1276"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-,045</w:t>
            </w:r>
          </w:p>
        </w:tc>
        <w:tc>
          <w:tcPr>
            <w:tcW w:w="992"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-,399</w:t>
            </w:r>
          </w:p>
        </w:tc>
        <w:tc>
          <w:tcPr>
            <w:tcW w:w="1984" w:type="dxa"/>
            <w:tcBorders>
              <w:top w:val="nil"/>
              <w:bottom w:val="nil"/>
              <w:right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,692</w:t>
            </w:r>
          </w:p>
        </w:tc>
      </w:tr>
      <w:tr w:rsidR="00FD6621" w:rsidRPr="00FD6621" w:rsidTr="00881F5A">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c>
          <w:tcPr>
            <w:tcW w:w="2268" w:type="dxa"/>
            <w:tcBorders>
              <w:top w:val="nil"/>
              <w:left w:val="nil"/>
              <w:bottom w:val="nil"/>
              <w:right w:val="single" w:sz="16" w:space="0" w:color="000000"/>
            </w:tcBorders>
            <w:shd w:val="clear" w:color="auto" w:fill="FFFFFF"/>
          </w:tcPr>
          <w:p w:rsidR="00FD6621" w:rsidRPr="00FD6621" w:rsidRDefault="00FD6621" w:rsidP="00FD6621">
            <w:pPr>
              <w:tabs>
                <w:tab w:val="left" w:pos="709"/>
              </w:tabs>
              <w:spacing w:line="240" w:lineRule="auto"/>
              <w:ind w:left="0" w:right="0" w:firstLine="0"/>
              <w:rPr>
                <w:rFonts w:ascii="Arial" w:eastAsia="Calibri" w:hAnsi="Arial" w:cs="Arial"/>
                <w:sz w:val="18"/>
                <w:szCs w:val="18"/>
              </w:rPr>
            </w:pPr>
            <w:r w:rsidRPr="00FD6621">
              <w:rPr>
                <w:rFonts w:ascii="Arial" w:eastAsia="Calibri" w:hAnsi="Arial" w:cs="Arial"/>
                <w:sz w:val="18"/>
                <w:szCs w:val="18"/>
              </w:rPr>
              <w:t>Rasio Profitabilitas</w:t>
            </w:r>
          </w:p>
        </w:tc>
        <w:tc>
          <w:tcPr>
            <w:tcW w:w="1015" w:type="dxa"/>
            <w:tcBorders>
              <w:top w:val="nil"/>
              <w:left w:val="single" w:sz="16" w:space="0" w:color="000000"/>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,008</w:t>
            </w:r>
          </w:p>
        </w:tc>
        <w:tc>
          <w:tcPr>
            <w:tcW w:w="970"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,005</w:t>
            </w:r>
          </w:p>
        </w:tc>
        <w:tc>
          <w:tcPr>
            <w:tcW w:w="1276"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,204</w:t>
            </w:r>
          </w:p>
        </w:tc>
        <w:tc>
          <w:tcPr>
            <w:tcW w:w="992"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1,441</w:t>
            </w:r>
          </w:p>
        </w:tc>
        <w:tc>
          <w:tcPr>
            <w:tcW w:w="1984" w:type="dxa"/>
            <w:tcBorders>
              <w:top w:val="nil"/>
              <w:bottom w:val="nil"/>
              <w:right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,156</w:t>
            </w:r>
          </w:p>
        </w:tc>
      </w:tr>
      <w:tr w:rsidR="00FD6621" w:rsidRPr="00FD6621" w:rsidTr="00881F5A">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c>
          <w:tcPr>
            <w:tcW w:w="2268" w:type="dxa"/>
            <w:tcBorders>
              <w:top w:val="nil"/>
              <w:left w:val="nil"/>
              <w:bottom w:val="single" w:sz="16" w:space="0" w:color="000000"/>
              <w:right w:val="single" w:sz="16" w:space="0" w:color="000000"/>
            </w:tcBorders>
            <w:shd w:val="clear" w:color="auto" w:fill="FFFFFF"/>
          </w:tcPr>
          <w:p w:rsidR="00FD6621" w:rsidRPr="00FD6621" w:rsidRDefault="00FD6621" w:rsidP="00FD6621">
            <w:pPr>
              <w:tabs>
                <w:tab w:val="left" w:pos="709"/>
              </w:tabs>
              <w:spacing w:line="240" w:lineRule="auto"/>
              <w:ind w:left="0" w:right="0" w:firstLine="0"/>
              <w:rPr>
                <w:rFonts w:ascii="Arial" w:eastAsia="Calibri" w:hAnsi="Arial" w:cs="Arial"/>
                <w:sz w:val="18"/>
                <w:szCs w:val="18"/>
              </w:rPr>
            </w:pPr>
            <w:r w:rsidRPr="00FD6621">
              <w:rPr>
                <w:rFonts w:ascii="Arial" w:eastAsia="Calibri" w:hAnsi="Arial" w:cs="Arial"/>
                <w:sz w:val="18"/>
                <w:szCs w:val="18"/>
              </w:rPr>
              <w:t>Umur obligasi</w:t>
            </w:r>
          </w:p>
        </w:tc>
        <w:tc>
          <w:tcPr>
            <w:tcW w:w="1015" w:type="dxa"/>
            <w:tcBorders>
              <w:top w:val="nil"/>
              <w:left w:val="single" w:sz="16" w:space="0" w:color="000000"/>
              <w:bottom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-,002</w:t>
            </w:r>
          </w:p>
        </w:tc>
        <w:tc>
          <w:tcPr>
            <w:tcW w:w="970" w:type="dxa"/>
            <w:tcBorders>
              <w:top w:val="nil"/>
              <w:bottom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,101</w:t>
            </w:r>
          </w:p>
        </w:tc>
        <w:tc>
          <w:tcPr>
            <w:tcW w:w="1276" w:type="dxa"/>
            <w:tcBorders>
              <w:top w:val="nil"/>
              <w:bottom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-,003</w:t>
            </w:r>
          </w:p>
        </w:tc>
        <w:tc>
          <w:tcPr>
            <w:tcW w:w="992" w:type="dxa"/>
            <w:tcBorders>
              <w:top w:val="nil"/>
              <w:bottom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-,022</w:t>
            </w:r>
          </w:p>
        </w:tc>
        <w:tc>
          <w:tcPr>
            <w:tcW w:w="1984" w:type="dxa"/>
            <w:tcBorders>
              <w:top w:val="nil"/>
              <w:bottom w:val="single" w:sz="16" w:space="0" w:color="000000"/>
              <w:right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,983</w:t>
            </w:r>
          </w:p>
        </w:tc>
      </w:tr>
      <w:tr w:rsidR="00FD6621" w:rsidRPr="00FD6621" w:rsidTr="00881F5A">
        <w:trPr>
          <w:cantSplit/>
        </w:trPr>
        <w:tc>
          <w:tcPr>
            <w:tcW w:w="9072" w:type="dxa"/>
            <w:gridSpan w:val="7"/>
            <w:tcBorders>
              <w:top w:val="nil"/>
              <w:left w:val="nil"/>
              <w:bottom w:val="nil"/>
              <w:right w:val="nil"/>
            </w:tcBorders>
            <w:shd w:val="clear" w:color="auto" w:fill="FFFFFF"/>
          </w:tcPr>
          <w:p w:rsidR="00FD6621" w:rsidRPr="00FD6621" w:rsidRDefault="00FD6621" w:rsidP="00FD6621">
            <w:pPr>
              <w:tabs>
                <w:tab w:val="left" w:pos="709"/>
              </w:tabs>
              <w:spacing w:line="240" w:lineRule="auto"/>
              <w:ind w:left="0" w:right="0" w:firstLine="0"/>
              <w:rPr>
                <w:rFonts w:ascii="Arial" w:eastAsia="Calibri" w:hAnsi="Arial" w:cs="Arial"/>
                <w:sz w:val="18"/>
                <w:szCs w:val="18"/>
              </w:rPr>
            </w:pPr>
            <w:r w:rsidRPr="00FD6621">
              <w:rPr>
                <w:rFonts w:ascii="Arial" w:eastAsia="Calibri" w:hAnsi="Arial" w:cs="Arial"/>
                <w:sz w:val="18"/>
                <w:szCs w:val="18"/>
              </w:rPr>
              <w:t>a. Dependent Variable: Peringkat</w:t>
            </w:r>
          </w:p>
        </w:tc>
      </w:tr>
    </w:tbl>
    <w:p w:rsidR="00FD6621" w:rsidRDefault="00FD6621" w:rsidP="00B83BFC">
      <w:pPr>
        <w:tabs>
          <w:tab w:val="left" w:pos="709"/>
        </w:tabs>
        <w:spacing w:line="276" w:lineRule="auto"/>
        <w:ind w:left="0" w:right="0" w:firstLine="0"/>
        <w:rPr>
          <w:rFonts w:eastAsia="Calibri" w:cs="Times New Roman"/>
          <w:i/>
          <w:sz w:val="22"/>
        </w:rPr>
      </w:pPr>
      <w:r w:rsidRPr="00FD6621">
        <w:rPr>
          <w:rFonts w:eastAsia="Calibri" w:cs="Times New Roman"/>
          <w:i/>
          <w:sz w:val="22"/>
        </w:rPr>
        <w:t>Sumber: Hasil Olahan SPSS</w:t>
      </w:r>
    </w:p>
    <w:p w:rsidR="00AB5615" w:rsidRDefault="003B1687" w:rsidP="0098783B">
      <w:pPr>
        <w:tabs>
          <w:tab w:val="left" w:pos="709"/>
        </w:tabs>
        <w:spacing w:line="360" w:lineRule="auto"/>
        <w:ind w:left="0" w:right="0" w:firstLine="0"/>
        <w:jc w:val="both"/>
        <w:rPr>
          <w:rFonts w:eastAsia="Calibri" w:cs="Times New Roman"/>
          <w:sz w:val="22"/>
        </w:rPr>
      </w:pPr>
      <w:r>
        <w:rPr>
          <w:rFonts w:eastAsia="Calibri" w:cs="Times New Roman"/>
          <w:sz w:val="22"/>
        </w:rPr>
        <w:tab/>
      </w:r>
      <w:r w:rsidR="00AB5615" w:rsidRPr="00AB5615">
        <w:rPr>
          <w:rFonts w:eastAsia="Calibri" w:cs="Times New Roman"/>
          <w:sz w:val="22"/>
        </w:rPr>
        <w:t>Pengujian dilakukan dengan tingkat sign</w:t>
      </w:r>
      <w:r>
        <w:rPr>
          <w:rFonts w:eastAsia="Calibri" w:cs="Times New Roman"/>
          <w:sz w:val="22"/>
        </w:rPr>
        <w:t xml:space="preserve">ifikansi sebesar 5%. Jika nilai </w:t>
      </w:r>
      <w:r w:rsidR="00AB5615" w:rsidRPr="00AB5615">
        <w:rPr>
          <w:rFonts w:eastAsia="Calibri" w:cs="Times New Roman"/>
          <w:sz w:val="22"/>
        </w:rPr>
        <w:t>probabilitas lebih</w:t>
      </w:r>
      <w:r>
        <w:rPr>
          <w:rFonts w:eastAsia="Calibri" w:cs="Times New Roman"/>
          <w:sz w:val="22"/>
        </w:rPr>
        <w:t xml:space="preserve"> </w:t>
      </w:r>
      <w:r w:rsidR="00AB5615" w:rsidRPr="00AB5615">
        <w:rPr>
          <w:rFonts w:eastAsia="Calibri" w:cs="Times New Roman"/>
          <w:sz w:val="22"/>
        </w:rPr>
        <w:t>kecil dari 5%, maka hipotesis diterima. Sedangkan jika nilai probabilitas lebih besar dari</w:t>
      </w:r>
      <w:r>
        <w:rPr>
          <w:rFonts w:eastAsia="Calibri" w:cs="Times New Roman"/>
          <w:sz w:val="22"/>
        </w:rPr>
        <w:t xml:space="preserve"> </w:t>
      </w:r>
      <w:r w:rsidR="00AB5615" w:rsidRPr="00AB5615">
        <w:rPr>
          <w:rFonts w:eastAsia="Calibri" w:cs="Times New Roman"/>
          <w:sz w:val="22"/>
        </w:rPr>
        <w:t>5%, maka hipotesis ditolak.</w:t>
      </w:r>
    </w:p>
    <w:p w:rsidR="00AB5615" w:rsidRDefault="00AB5615" w:rsidP="00881F5A">
      <w:pPr>
        <w:pStyle w:val="ListParagraph"/>
        <w:numPr>
          <w:ilvl w:val="0"/>
          <w:numId w:val="8"/>
        </w:numPr>
        <w:tabs>
          <w:tab w:val="left" w:pos="851"/>
        </w:tabs>
        <w:spacing w:line="360" w:lineRule="auto"/>
        <w:ind w:left="851" w:right="0" w:hanging="426"/>
        <w:jc w:val="both"/>
        <w:rPr>
          <w:rFonts w:eastAsia="Calibri" w:cs="Times New Roman"/>
          <w:sz w:val="22"/>
        </w:rPr>
      </w:pPr>
      <w:r>
        <w:rPr>
          <w:rFonts w:eastAsia="Calibri" w:cs="Times New Roman"/>
          <w:sz w:val="22"/>
        </w:rPr>
        <w:t xml:space="preserve">Pengaruh likuiditas terhadap peringkat obligasi. </w:t>
      </w:r>
      <w:r w:rsidRPr="00AB5615">
        <w:rPr>
          <w:rFonts w:eastAsia="Calibri" w:cs="Times New Roman"/>
          <w:sz w:val="22"/>
          <w:lang w:val="en-US"/>
        </w:rPr>
        <w:t>Hasil pengujian menunjukkan bahwa likuiditas tidak memiliki pengaruh signifikan terhadap peringkat obligasi dengan nilai signifikansi 0,862 dimana nilai tersebut lebih besar dari 0,05 (α = 5%).</w:t>
      </w:r>
    </w:p>
    <w:p w:rsidR="00AB5615" w:rsidRDefault="00AB5615" w:rsidP="00881F5A">
      <w:pPr>
        <w:pStyle w:val="ListParagraph"/>
        <w:numPr>
          <w:ilvl w:val="0"/>
          <w:numId w:val="8"/>
        </w:numPr>
        <w:tabs>
          <w:tab w:val="left" w:pos="851"/>
        </w:tabs>
        <w:spacing w:line="360" w:lineRule="auto"/>
        <w:ind w:left="851" w:right="0" w:hanging="426"/>
        <w:jc w:val="both"/>
        <w:rPr>
          <w:rFonts w:eastAsia="Calibri" w:cs="Times New Roman"/>
          <w:sz w:val="22"/>
        </w:rPr>
      </w:pPr>
      <w:r w:rsidRPr="00AB5615">
        <w:rPr>
          <w:rFonts w:eastAsia="Calibri" w:cs="Times New Roman"/>
          <w:sz w:val="22"/>
        </w:rPr>
        <w:t xml:space="preserve">Pengaruh </w:t>
      </w:r>
      <w:r>
        <w:rPr>
          <w:rFonts w:eastAsia="Calibri" w:cs="Times New Roman"/>
          <w:i/>
          <w:sz w:val="22"/>
        </w:rPr>
        <w:t>leverage</w:t>
      </w:r>
      <w:r w:rsidRPr="00AB5615">
        <w:rPr>
          <w:rFonts w:eastAsia="Calibri" w:cs="Times New Roman"/>
          <w:sz w:val="22"/>
        </w:rPr>
        <w:t xml:space="preserve"> terhadap peringkat obligasi.</w:t>
      </w:r>
      <w:r>
        <w:rPr>
          <w:rFonts w:eastAsia="Calibri" w:cs="Times New Roman"/>
          <w:sz w:val="22"/>
        </w:rPr>
        <w:t xml:space="preserve"> </w:t>
      </w:r>
      <w:r w:rsidRPr="00AB5615">
        <w:rPr>
          <w:rFonts w:eastAsia="Calibri" w:cs="Times New Roman"/>
          <w:sz w:val="22"/>
          <w:lang w:val="en-US"/>
        </w:rPr>
        <w:t xml:space="preserve">Hasil pengujian menunjukkan bahwa </w:t>
      </w:r>
      <w:r w:rsidRPr="00AB5615">
        <w:rPr>
          <w:rFonts w:eastAsia="Calibri" w:cs="Times New Roman"/>
          <w:i/>
          <w:sz w:val="22"/>
          <w:lang w:val="en-US"/>
        </w:rPr>
        <w:t>leverage</w:t>
      </w:r>
      <w:r w:rsidRPr="00AB5615">
        <w:rPr>
          <w:rFonts w:eastAsia="Calibri" w:cs="Times New Roman"/>
          <w:sz w:val="22"/>
          <w:lang w:val="en-US"/>
        </w:rPr>
        <w:t xml:space="preserve"> memiliki pengaruh signifikan terhadap peringkat obligasi dengan nilai signifikansi 0,012 dimana nilai tersebut lebih kecil dari 0,05 (α = 5%).</w:t>
      </w:r>
    </w:p>
    <w:p w:rsidR="00AB5615" w:rsidRDefault="00AB5615" w:rsidP="00881F5A">
      <w:pPr>
        <w:pStyle w:val="ListParagraph"/>
        <w:numPr>
          <w:ilvl w:val="0"/>
          <w:numId w:val="8"/>
        </w:numPr>
        <w:tabs>
          <w:tab w:val="left" w:pos="851"/>
        </w:tabs>
        <w:spacing w:line="360" w:lineRule="auto"/>
        <w:ind w:left="851" w:right="0" w:hanging="426"/>
        <w:jc w:val="both"/>
        <w:rPr>
          <w:rFonts w:eastAsia="Calibri" w:cs="Times New Roman"/>
          <w:sz w:val="22"/>
        </w:rPr>
      </w:pPr>
      <w:r w:rsidRPr="00AB5615">
        <w:rPr>
          <w:rFonts w:eastAsia="Calibri" w:cs="Times New Roman"/>
          <w:sz w:val="22"/>
        </w:rPr>
        <w:t xml:space="preserve">Pengaruh </w:t>
      </w:r>
      <w:r>
        <w:rPr>
          <w:rFonts w:eastAsia="Calibri" w:cs="Times New Roman"/>
          <w:i/>
          <w:sz w:val="22"/>
        </w:rPr>
        <w:t>coverage</w:t>
      </w:r>
      <w:r w:rsidRPr="00AB5615">
        <w:rPr>
          <w:rFonts w:eastAsia="Calibri" w:cs="Times New Roman"/>
          <w:sz w:val="22"/>
        </w:rPr>
        <w:t xml:space="preserve"> terhadap peringkat obligasi.</w:t>
      </w:r>
      <w:r>
        <w:rPr>
          <w:rFonts w:eastAsia="Calibri" w:cs="Times New Roman"/>
          <w:sz w:val="22"/>
        </w:rPr>
        <w:t xml:space="preserve"> </w:t>
      </w:r>
      <w:r w:rsidRPr="00AB5615">
        <w:rPr>
          <w:rFonts w:eastAsia="Calibri" w:cs="Times New Roman"/>
          <w:sz w:val="22"/>
          <w:lang w:val="en-US"/>
        </w:rPr>
        <w:t xml:space="preserve">Hasil pengujian menunjukkan bahwa </w:t>
      </w:r>
      <w:r w:rsidRPr="00AB5615">
        <w:rPr>
          <w:rFonts w:eastAsia="Calibri" w:cs="Times New Roman"/>
          <w:i/>
          <w:sz w:val="22"/>
          <w:lang w:val="en-US"/>
        </w:rPr>
        <w:t>coverage</w:t>
      </w:r>
      <w:r w:rsidRPr="00AB5615">
        <w:rPr>
          <w:rFonts w:eastAsia="Calibri" w:cs="Times New Roman"/>
          <w:sz w:val="22"/>
          <w:lang w:val="en-US"/>
        </w:rPr>
        <w:t xml:space="preserve"> tidak memiliki pengaruh signifikan terhadap peringkat obligasi dengan nilai signifikansi 0,230 dimana nilai tersebut lebih besar dari 0,05 (α = 5%).</w:t>
      </w:r>
    </w:p>
    <w:p w:rsidR="00AB5615" w:rsidRDefault="00AB5615" w:rsidP="00881F5A">
      <w:pPr>
        <w:pStyle w:val="ListParagraph"/>
        <w:numPr>
          <w:ilvl w:val="0"/>
          <w:numId w:val="8"/>
        </w:numPr>
        <w:tabs>
          <w:tab w:val="left" w:pos="851"/>
        </w:tabs>
        <w:spacing w:line="360" w:lineRule="auto"/>
        <w:ind w:left="851" w:right="0" w:hanging="426"/>
        <w:jc w:val="both"/>
        <w:rPr>
          <w:rFonts w:eastAsia="Calibri" w:cs="Times New Roman"/>
          <w:sz w:val="22"/>
        </w:rPr>
      </w:pPr>
      <w:r w:rsidRPr="00AB5615">
        <w:rPr>
          <w:rFonts w:eastAsia="Calibri" w:cs="Times New Roman"/>
          <w:sz w:val="22"/>
        </w:rPr>
        <w:t xml:space="preserve">Pengaruh </w:t>
      </w:r>
      <w:r w:rsidRPr="00AB5615">
        <w:rPr>
          <w:rFonts w:eastAsia="Calibri" w:cs="Times New Roman"/>
          <w:i/>
          <w:sz w:val="22"/>
        </w:rPr>
        <w:t>c</w:t>
      </w:r>
      <w:r>
        <w:rPr>
          <w:rFonts w:eastAsia="Calibri" w:cs="Times New Roman"/>
          <w:i/>
          <w:sz w:val="22"/>
        </w:rPr>
        <w:t xml:space="preserve">ash flow to debt </w:t>
      </w:r>
      <w:r w:rsidRPr="00AB5615">
        <w:rPr>
          <w:rFonts w:eastAsia="Calibri" w:cs="Times New Roman"/>
          <w:sz w:val="22"/>
        </w:rPr>
        <w:t>terhadap peringkat obligasi.</w:t>
      </w:r>
      <w:r>
        <w:rPr>
          <w:rFonts w:eastAsia="Calibri" w:cs="Times New Roman"/>
          <w:sz w:val="22"/>
        </w:rPr>
        <w:t xml:space="preserve"> </w:t>
      </w:r>
      <w:r w:rsidRPr="00AB5615">
        <w:rPr>
          <w:rFonts w:eastAsia="Calibri" w:cs="Times New Roman"/>
          <w:sz w:val="22"/>
        </w:rPr>
        <w:t xml:space="preserve">Hasil pengujian menunjukkan bahwa </w:t>
      </w:r>
      <w:r w:rsidRPr="00AB5615">
        <w:rPr>
          <w:rFonts w:eastAsia="Calibri" w:cs="Times New Roman"/>
          <w:i/>
          <w:sz w:val="22"/>
          <w:lang w:val="en-US"/>
        </w:rPr>
        <w:t>c</w:t>
      </w:r>
      <w:r w:rsidRPr="00AB5615">
        <w:rPr>
          <w:rFonts w:eastAsia="Calibri" w:cs="Times New Roman"/>
          <w:i/>
          <w:sz w:val="22"/>
        </w:rPr>
        <w:t>ash flow to debt ratio</w:t>
      </w:r>
      <w:r w:rsidRPr="00AB5615">
        <w:rPr>
          <w:rFonts w:eastAsia="Calibri" w:cs="Times New Roman"/>
          <w:sz w:val="22"/>
        </w:rPr>
        <w:t xml:space="preserve"> tidak memiliki pengaruh signifikan terhadap peringkat obligasi dengan nilai signifikansi 0,692 dimana nilai tersebut lebih besar dari 0,05 (α = 5%).</w:t>
      </w:r>
    </w:p>
    <w:p w:rsidR="003B1687" w:rsidRDefault="003B1687" w:rsidP="00881F5A">
      <w:pPr>
        <w:pStyle w:val="ListParagraph"/>
        <w:numPr>
          <w:ilvl w:val="0"/>
          <w:numId w:val="8"/>
        </w:numPr>
        <w:tabs>
          <w:tab w:val="left" w:pos="851"/>
        </w:tabs>
        <w:spacing w:line="360" w:lineRule="auto"/>
        <w:ind w:left="851" w:right="0" w:hanging="426"/>
        <w:jc w:val="both"/>
        <w:rPr>
          <w:rFonts w:eastAsia="Calibri" w:cs="Times New Roman"/>
          <w:sz w:val="22"/>
        </w:rPr>
      </w:pPr>
      <w:r w:rsidRPr="003B1687">
        <w:rPr>
          <w:rFonts w:eastAsia="Calibri" w:cs="Times New Roman"/>
          <w:sz w:val="22"/>
        </w:rPr>
        <w:t xml:space="preserve">Pengaruh </w:t>
      </w:r>
      <w:r>
        <w:rPr>
          <w:rFonts w:eastAsia="Calibri" w:cs="Times New Roman"/>
          <w:sz w:val="22"/>
        </w:rPr>
        <w:t>profitabilitas</w:t>
      </w:r>
      <w:r w:rsidRPr="003B1687">
        <w:rPr>
          <w:rFonts w:eastAsia="Calibri" w:cs="Times New Roman"/>
          <w:i/>
          <w:sz w:val="22"/>
        </w:rPr>
        <w:t xml:space="preserve"> </w:t>
      </w:r>
      <w:r w:rsidRPr="003B1687">
        <w:rPr>
          <w:rFonts w:eastAsia="Calibri" w:cs="Times New Roman"/>
          <w:sz w:val="22"/>
        </w:rPr>
        <w:t>terhadap peringkat obligasi.</w:t>
      </w:r>
      <w:r>
        <w:rPr>
          <w:rFonts w:eastAsia="Calibri" w:cs="Times New Roman"/>
          <w:sz w:val="22"/>
        </w:rPr>
        <w:t xml:space="preserve"> </w:t>
      </w:r>
      <w:r w:rsidRPr="003B1687">
        <w:rPr>
          <w:rFonts w:eastAsia="Calibri" w:cs="Times New Roman"/>
          <w:sz w:val="22"/>
        </w:rPr>
        <w:t>Hasil pengujian menunjukkan bahwa profitabilitas tidak memiliki pengaruh signifikan terhadap peringkat obligasi dengan nilai signifikansi 0,156 dimana nilai tersebut lebih besar dari 0,05 (α = 5%).</w:t>
      </w:r>
    </w:p>
    <w:p w:rsidR="00881F5A" w:rsidRPr="00FC6A51" w:rsidRDefault="00AB5615" w:rsidP="00FC6A51">
      <w:pPr>
        <w:pStyle w:val="ListParagraph"/>
        <w:numPr>
          <w:ilvl w:val="0"/>
          <w:numId w:val="8"/>
        </w:numPr>
        <w:tabs>
          <w:tab w:val="left" w:pos="851"/>
        </w:tabs>
        <w:spacing w:line="360" w:lineRule="auto"/>
        <w:ind w:left="851" w:right="0" w:hanging="426"/>
        <w:jc w:val="both"/>
        <w:rPr>
          <w:rFonts w:eastAsia="Calibri" w:cs="Times New Roman"/>
          <w:sz w:val="22"/>
        </w:rPr>
      </w:pPr>
      <w:r w:rsidRPr="00AB5615">
        <w:rPr>
          <w:rFonts w:eastAsia="Calibri" w:cs="Times New Roman"/>
          <w:sz w:val="22"/>
        </w:rPr>
        <w:t xml:space="preserve">Pengaruh </w:t>
      </w:r>
      <w:r w:rsidR="003B1687">
        <w:rPr>
          <w:rFonts w:eastAsia="Calibri" w:cs="Times New Roman"/>
          <w:sz w:val="22"/>
        </w:rPr>
        <w:t>umur obligasi</w:t>
      </w:r>
      <w:r w:rsidRPr="00AB5615">
        <w:rPr>
          <w:rFonts w:eastAsia="Calibri" w:cs="Times New Roman"/>
          <w:i/>
          <w:sz w:val="22"/>
        </w:rPr>
        <w:t xml:space="preserve"> </w:t>
      </w:r>
      <w:r w:rsidRPr="00AB5615">
        <w:rPr>
          <w:rFonts w:eastAsia="Calibri" w:cs="Times New Roman"/>
          <w:sz w:val="22"/>
        </w:rPr>
        <w:t>terhadap peringkat obligasi.</w:t>
      </w:r>
      <w:r>
        <w:rPr>
          <w:rFonts w:eastAsia="Calibri" w:cs="Times New Roman"/>
          <w:sz w:val="22"/>
        </w:rPr>
        <w:t xml:space="preserve"> </w:t>
      </w:r>
      <w:r w:rsidRPr="00AB5615">
        <w:rPr>
          <w:rFonts w:eastAsia="Calibri" w:cs="Times New Roman"/>
          <w:sz w:val="22"/>
        </w:rPr>
        <w:t>Hasil pengujian menunjukkan bahwa umur obligasi tidak memiliki pengaruh signifikan terhadap peringkat obligasi dengan nilai signifikansi 0,983 dimana nilai tersebut lebih besar dari 0,05 (α = 5%).</w:t>
      </w:r>
    </w:p>
    <w:p w:rsidR="00FD6621" w:rsidRPr="00881F5A" w:rsidRDefault="00FD6621" w:rsidP="00881F5A">
      <w:pPr>
        <w:pStyle w:val="ListParagraph"/>
        <w:numPr>
          <w:ilvl w:val="0"/>
          <w:numId w:val="17"/>
        </w:numPr>
        <w:tabs>
          <w:tab w:val="left" w:pos="993"/>
        </w:tabs>
        <w:spacing w:line="360" w:lineRule="auto"/>
        <w:ind w:left="426" w:right="0" w:hanging="426"/>
        <w:jc w:val="both"/>
        <w:rPr>
          <w:rFonts w:eastAsia="Calibri" w:cs="Times New Roman"/>
          <w:sz w:val="22"/>
        </w:rPr>
      </w:pPr>
      <w:r w:rsidRPr="00881F5A">
        <w:rPr>
          <w:rFonts w:eastAsia="Calibri" w:cs="Times New Roman"/>
          <w:i/>
          <w:sz w:val="22"/>
        </w:rPr>
        <w:t>Uji Signifikansi Simultan (Uji F)</w:t>
      </w:r>
    </w:p>
    <w:tbl>
      <w:tblPr>
        <w:tblW w:w="8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289"/>
        <w:gridCol w:w="1472"/>
        <w:gridCol w:w="1027"/>
        <w:gridCol w:w="1410"/>
        <w:gridCol w:w="1027"/>
        <w:gridCol w:w="1027"/>
        <w:gridCol w:w="56"/>
      </w:tblGrid>
      <w:tr w:rsidR="00FD6621" w:rsidRPr="00FD6621" w:rsidTr="00EC46DE">
        <w:trPr>
          <w:gridAfter w:val="1"/>
          <w:wAfter w:w="56" w:type="dxa"/>
          <w:cantSplit/>
        </w:trPr>
        <w:tc>
          <w:tcPr>
            <w:tcW w:w="7989" w:type="dxa"/>
            <w:gridSpan w:val="7"/>
            <w:tcBorders>
              <w:top w:val="nil"/>
              <w:left w:val="nil"/>
              <w:bottom w:val="nil"/>
              <w:right w:val="nil"/>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center"/>
              <w:rPr>
                <w:rFonts w:ascii="Arial" w:eastAsiaTheme="minorEastAsia" w:hAnsi="Arial" w:cs="Arial"/>
                <w:color w:val="000000"/>
                <w:sz w:val="18"/>
                <w:szCs w:val="18"/>
                <w:lang w:eastAsia="id-ID"/>
              </w:rPr>
            </w:pPr>
            <w:r w:rsidRPr="00FD6621">
              <w:rPr>
                <w:rFonts w:ascii="Arial" w:eastAsiaTheme="minorEastAsia" w:hAnsi="Arial" w:cs="Arial"/>
                <w:b/>
                <w:bCs/>
                <w:color w:val="000000"/>
                <w:sz w:val="18"/>
                <w:szCs w:val="18"/>
                <w:lang w:eastAsia="id-ID"/>
              </w:rPr>
              <w:t>ANOVA</w:t>
            </w:r>
            <w:r w:rsidRPr="00FD6621">
              <w:rPr>
                <w:rFonts w:ascii="Arial" w:eastAsiaTheme="minorEastAsia" w:hAnsi="Arial" w:cs="Arial"/>
                <w:b/>
                <w:bCs/>
                <w:color w:val="000000"/>
                <w:sz w:val="18"/>
                <w:szCs w:val="18"/>
                <w:vertAlign w:val="superscript"/>
                <w:lang w:eastAsia="id-ID"/>
              </w:rPr>
              <w:t>a</w:t>
            </w:r>
          </w:p>
        </w:tc>
      </w:tr>
      <w:tr w:rsidR="00FD6621" w:rsidRPr="00FD6621" w:rsidTr="00EC46DE">
        <w:trPr>
          <w:gridAfter w:val="1"/>
          <w:wAfter w:w="56" w:type="dxa"/>
          <w:cantSplit/>
        </w:trPr>
        <w:tc>
          <w:tcPr>
            <w:tcW w:w="2026" w:type="dxa"/>
            <w:gridSpan w:val="2"/>
            <w:tcBorders>
              <w:top w:val="single" w:sz="16" w:space="0" w:color="000000"/>
              <w:left w:val="single" w:sz="16" w:space="0" w:color="000000"/>
              <w:bottom w:val="single" w:sz="16" w:space="0" w:color="000000"/>
              <w:right w:val="nil"/>
            </w:tcBorders>
            <w:shd w:val="clear" w:color="auto" w:fill="FFFFFF"/>
            <w:vAlign w:val="bottom"/>
          </w:tcPr>
          <w:p w:rsidR="00FD6621" w:rsidRPr="00FD6621" w:rsidRDefault="00FD6621" w:rsidP="00FD6621">
            <w:pPr>
              <w:widowControl w:val="0"/>
              <w:autoSpaceDE w:val="0"/>
              <w:autoSpaceDN w:val="0"/>
              <w:adjustRightInd w:val="0"/>
              <w:spacing w:line="240" w:lineRule="auto"/>
              <w:ind w:left="60" w:right="60" w:firstLine="0"/>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Model</w:t>
            </w:r>
          </w:p>
        </w:tc>
        <w:tc>
          <w:tcPr>
            <w:tcW w:w="1472" w:type="dxa"/>
            <w:tcBorders>
              <w:top w:val="single" w:sz="16" w:space="0" w:color="000000"/>
              <w:left w:val="single" w:sz="16" w:space="0" w:color="000000"/>
              <w:bottom w:val="single" w:sz="16" w:space="0" w:color="000000"/>
            </w:tcBorders>
            <w:shd w:val="clear" w:color="auto" w:fill="FFFFFF"/>
            <w:vAlign w:val="bottom"/>
          </w:tcPr>
          <w:p w:rsidR="00FD6621" w:rsidRPr="00FD6621" w:rsidRDefault="00FD6621" w:rsidP="00FD6621">
            <w:pPr>
              <w:widowControl w:val="0"/>
              <w:autoSpaceDE w:val="0"/>
              <w:autoSpaceDN w:val="0"/>
              <w:adjustRightInd w:val="0"/>
              <w:spacing w:line="240" w:lineRule="auto"/>
              <w:ind w:left="60" w:right="60" w:firstLine="0"/>
              <w:jc w:val="center"/>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Sum of Squares</w:t>
            </w:r>
          </w:p>
        </w:tc>
        <w:tc>
          <w:tcPr>
            <w:tcW w:w="1027" w:type="dxa"/>
            <w:tcBorders>
              <w:top w:val="single" w:sz="16" w:space="0" w:color="000000"/>
              <w:bottom w:val="single" w:sz="16" w:space="0" w:color="000000"/>
            </w:tcBorders>
            <w:shd w:val="clear" w:color="auto" w:fill="FFFFFF"/>
            <w:vAlign w:val="bottom"/>
          </w:tcPr>
          <w:p w:rsidR="00FD6621" w:rsidRPr="00FD6621" w:rsidRDefault="00FD6621" w:rsidP="00FD6621">
            <w:pPr>
              <w:widowControl w:val="0"/>
              <w:autoSpaceDE w:val="0"/>
              <w:autoSpaceDN w:val="0"/>
              <w:adjustRightInd w:val="0"/>
              <w:spacing w:line="240" w:lineRule="auto"/>
              <w:ind w:left="60" w:right="60" w:firstLine="0"/>
              <w:jc w:val="center"/>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Df</w:t>
            </w:r>
          </w:p>
        </w:tc>
        <w:tc>
          <w:tcPr>
            <w:tcW w:w="1410" w:type="dxa"/>
            <w:tcBorders>
              <w:top w:val="single" w:sz="16" w:space="0" w:color="000000"/>
              <w:bottom w:val="single" w:sz="16" w:space="0" w:color="000000"/>
            </w:tcBorders>
            <w:shd w:val="clear" w:color="auto" w:fill="FFFFFF"/>
            <w:vAlign w:val="bottom"/>
          </w:tcPr>
          <w:p w:rsidR="00FD6621" w:rsidRPr="00FD6621" w:rsidRDefault="00FD6621" w:rsidP="00FD6621">
            <w:pPr>
              <w:widowControl w:val="0"/>
              <w:autoSpaceDE w:val="0"/>
              <w:autoSpaceDN w:val="0"/>
              <w:adjustRightInd w:val="0"/>
              <w:spacing w:line="240" w:lineRule="auto"/>
              <w:ind w:left="60" w:right="60" w:firstLine="0"/>
              <w:jc w:val="center"/>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Mean Square</w:t>
            </w:r>
          </w:p>
        </w:tc>
        <w:tc>
          <w:tcPr>
            <w:tcW w:w="1027" w:type="dxa"/>
            <w:tcBorders>
              <w:top w:val="single" w:sz="16" w:space="0" w:color="000000"/>
              <w:bottom w:val="single" w:sz="16" w:space="0" w:color="000000"/>
            </w:tcBorders>
            <w:shd w:val="clear" w:color="auto" w:fill="FFFFFF"/>
            <w:vAlign w:val="bottom"/>
          </w:tcPr>
          <w:p w:rsidR="00FD6621" w:rsidRPr="00FD6621" w:rsidRDefault="00FD6621" w:rsidP="00FD6621">
            <w:pPr>
              <w:widowControl w:val="0"/>
              <w:autoSpaceDE w:val="0"/>
              <w:autoSpaceDN w:val="0"/>
              <w:adjustRightInd w:val="0"/>
              <w:spacing w:line="240" w:lineRule="auto"/>
              <w:ind w:left="60" w:right="60" w:firstLine="0"/>
              <w:jc w:val="center"/>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F</w:t>
            </w:r>
          </w:p>
        </w:tc>
        <w:tc>
          <w:tcPr>
            <w:tcW w:w="1027" w:type="dxa"/>
            <w:tcBorders>
              <w:top w:val="single" w:sz="16" w:space="0" w:color="000000"/>
              <w:bottom w:val="single" w:sz="16" w:space="0" w:color="000000"/>
              <w:right w:val="single" w:sz="16" w:space="0" w:color="000000"/>
            </w:tcBorders>
            <w:shd w:val="clear" w:color="auto" w:fill="FFFFFF"/>
            <w:vAlign w:val="bottom"/>
          </w:tcPr>
          <w:p w:rsidR="00FD6621" w:rsidRPr="00FD6621" w:rsidRDefault="00FD6621" w:rsidP="00FD6621">
            <w:pPr>
              <w:widowControl w:val="0"/>
              <w:autoSpaceDE w:val="0"/>
              <w:autoSpaceDN w:val="0"/>
              <w:adjustRightInd w:val="0"/>
              <w:spacing w:line="240" w:lineRule="auto"/>
              <w:ind w:left="60" w:right="60" w:firstLine="0"/>
              <w:jc w:val="center"/>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Sig.</w:t>
            </w:r>
          </w:p>
        </w:tc>
      </w:tr>
      <w:tr w:rsidR="00FD6621" w:rsidRPr="00FD6621" w:rsidTr="00EC46DE">
        <w:trPr>
          <w:gridAfter w:val="1"/>
          <w:wAfter w:w="56" w:type="dxa"/>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widowControl w:val="0"/>
              <w:autoSpaceDE w:val="0"/>
              <w:autoSpaceDN w:val="0"/>
              <w:adjustRightInd w:val="0"/>
              <w:spacing w:line="240" w:lineRule="auto"/>
              <w:ind w:left="60" w:right="60" w:firstLine="0"/>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1</w:t>
            </w:r>
          </w:p>
        </w:tc>
        <w:tc>
          <w:tcPr>
            <w:tcW w:w="1289" w:type="dxa"/>
            <w:tcBorders>
              <w:top w:val="single" w:sz="16" w:space="0" w:color="000000"/>
              <w:left w:val="nil"/>
              <w:bottom w:val="nil"/>
              <w:right w:val="single" w:sz="16" w:space="0" w:color="000000"/>
            </w:tcBorders>
            <w:shd w:val="clear" w:color="auto" w:fill="FFFFFF"/>
          </w:tcPr>
          <w:p w:rsidR="00FD6621" w:rsidRPr="00FD6621" w:rsidRDefault="00FD6621" w:rsidP="00FD6621">
            <w:pPr>
              <w:widowControl w:val="0"/>
              <w:autoSpaceDE w:val="0"/>
              <w:autoSpaceDN w:val="0"/>
              <w:adjustRightInd w:val="0"/>
              <w:spacing w:line="240" w:lineRule="auto"/>
              <w:ind w:left="60" w:right="60" w:firstLine="0"/>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Regression</w:t>
            </w:r>
          </w:p>
        </w:tc>
        <w:tc>
          <w:tcPr>
            <w:tcW w:w="1472" w:type="dxa"/>
            <w:tcBorders>
              <w:top w:val="single" w:sz="16" w:space="0" w:color="000000"/>
              <w:left w:val="single" w:sz="16" w:space="0" w:color="000000"/>
              <w:bottom w:val="nil"/>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2,353</w:t>
            </w:r>
          </w:p>
        </w:tc>
        <w:tc>
          <w:tcPr>
            <w:tcW w:w="1027" w:type="dxa"/>
            <w:tcBorders>
              <w:top w:val="single" w:sz="16" w:space="0" w:color="000000"/>
              <w:bottom w:val="nil"/>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6</w:t>
            </w:r>
          </w:p>
        </w:tc>
        <w:tc>
          <w:tcPr>
            <w:tcW w:w="1410" w:type="dxa"/>
            <w:tcBorders>
              <w:top w:val="single" w:sz="16" w:space="0" w:color="000000"/>
              <w:bottom w:val="nil"/>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,392</w:t>
            </w:r>
          </w:p>
        </w:tc>
        <w:tc>
          <w:tcPr>
            <w:tcW w:w="1027" w:type="dxa"/>
            <w:tcBorders>
              <w:top w:val="single" w:sz="16" w:space="0" w:color="000000"/>
              <w:bottom w:val="nil"/>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5,425</w:t>
            </w:r>
          </w:p>
        </w:tc>
        <w:tc>
          <w:tcPr>
            <w:tcW w:w="1027" w:type="dxa"/>
            <w:tcBorders>
              <w:top w:val="single" w:sz="16" w:space="0" w:color="000000"/>
              <w:bottom w:val="nil"/>
              <w:right w:val="single" w:sz="16" w:space="0" w:color="000000"/>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,000</w:t>
            </w:r>
            <w:r w:rsidRPr="00FD6621">
              <w:rPr>
                <w:rFonts w:ascii="Arial" w:eastAsiaTheme="minorEastAsia" w:hAnsi="Arial" w:cs="Arial"/>
                <w:color w:val="000000"/>
                <w:sz w:val="18"/>
                <w:szCs w:val="18"/>
                <w:vertAlign w:val="superscript"/>
                <w:lang w:eastAsia="id-ID"/>
              </w:rPr>
              <w:t>b</w:t>
            </w:r>
          </w:p>
        </w:tc>
      </w:tr>
      <w:tr w:rsidR="00FD6621" w:rsidRPr="00FD6621" w:rsidTr="00EC46DE">
        <w:trPr>
          <w:gridAfter w:val="1"/>
          <w:wAfter w:w="56" w:type="dxa"/>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widowControl w:val="0"/>
              <w:autoSpaceDE w:val="0"/>
              <w:autoSpaceDN w:val="0"/>
              <w:adjustRightInd w:val="0"/>
              <w:spacing w:line="240" w:lineRule="auto"/>
              <w:ind w:left="0" w:right="0" w:firstLine="0"/>
              <w:rPr>
                <w:rFonts w:ascii="Arial" w:eastAsiaTheme="minorEastAsia" w:hAnsi="Arial" w:cs="Arial"/>
                <w:color w:val="000000"/>
                <w:sz w:val="18"/>
                <w:szCs w:val="18"/>
                <w:lang w:eastAsia="id-ID"/>
              </w:rPr>
            </w:pPr>
          </w:p>
        </w:tc>
        <w:tc>
          <w:tcPr>
            <w:tcW w:w="1289" w:type="dxa"/>
            <w:tcBorders>
              <w:top w:val="nil"/>
              <w:left w:val="nil"/>
              <w:bottom w:val="nil"/>
              <w:right w:val="single" w:sz="16" w:space="0" w:color="000000"/>
            </w:tcBorders>
            <w:shd w:val="clear" w:color="auto" w:fill="FFFFFF"/>
          </w:tcPr>
          <w:p w:rsidR="00FD6621" w:rsidRPr="00FD6621" w:rsidRDefault="00FD6621" w:rsidP="00FD6621">
            <w:pPr>
              <w:widowControl w:val="0"/>
              <w:autoSpaceDE w:val="0"/>
              <w:autoSpaceDN w:val="0"/>
              <w:adjustRightInd w:val="0"/>
              <w:spacing w:line="240" w:lineRule="auto"/>
              <w:ind w:left="60" w:right="60" w:firstLine="0"/>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Residual</w:t>
            </w:r>
          </w:p>
        </w:tc>
        <w:tc>
          <w:tcPr>
            <w:tcW w:w="1472" w:type="dxa"/>
            <w:tcBorders>
              <w:top w:val="nil"/>
              <w:left w:val="single" w:sz="16" w:space="0" w:color="000000"/>
              <w:bottom w:val="nil"/>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3,831</w:t>
            </w:r>
          </w:p>
        </w:tc>
        <w:tc>
          <w:tcPr>
            <w:tcW w:w="1027" w:type="dxa"/>
            <w:tcBorders>
              <w:top w:val="nil"/>
              <w:bottom w:val="nil"/>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53</w:t>
            </w:r>
          </w:p>
        </w:tc>
        <w:tc>
          <w:tcPr>
            <w:tcW w:w="1410" w:type="dxa"/>
            <w:tcBorders>
              <w:top w:val="nil"/>
              <w:bottom w:val="nil"/>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,072</w:t>
            </w:r>
          </w:p>
        </w:tc>
        <w:tc>
          <w:tcPr>
            <w:tcW w:w="1027" w:type="dxa"/>
            <w:tcBorders>
              <w:top w:val="nil"/>
              <w:bottom w:val="nil"/>
            </w:tcBorders>
            <w:shd w:val="clear" w:color="auto" w:fill="FFFFFF"/>
            <w:vAlign w:val="center"/>
          </w:tcPr>
          <w:p w:rsidR="00FD6621" w:rsidRPr="00FD6621" w:rsidRDefault="00FD6621" w:rsidP="00FD6621">
            <w:pPr>
              <w:widowControl w:val="0"/>
              <w:autoSpaceDE w:val="0"/>
              <w:autoSpaceDN w:val="0"/>
              <w:adjustRightInd w:val="0"/>
              <w:spacing w:line="240" w:lineRule="auto"/>
              <w:ind w:left="0" w:right="0" w:firstLine="0"/>
              <w:rPr>
                <w:rFonts w:eastAsiaTheme="minorEastAsia" w:cs="Times New Roman"/>
                <w:szCs w:val="24"/>
                <w:lang w:eastAsia="id-ID"/>
              </w:rPr>
            </w:pPr>
          </w:p>
        </w:tc>
        <w:tc>
          <w:tcPr>
            <w:tcW w:w="1027" w:type="dxa"/>
            <w:tcBorders>
              <w:top w:val="nil"/>
              <w:bottom w:val="nil"/>
              <w:right w:val="single" w:sz="16" w:space="0" w:color="000000"/>
            </w:tcBorders>
            <w:shd w:val="clear" w:color="auto" w:fill="FFFFFF"/>
            <w:vAlign w:val="center"/>
          </w:tcPr>
          <w:p w:rsidR="00FD6621" w:rsidRPr="00FD6621" w:rsidRDefault="00FD6621" w:rsidP="00FD6621">
            <w:pPr>
              <w:widowControl w:val="0"/>
              <w:autoSpaceDE w:val="0"/>
              <w:autoSpaceDN w:val="0"/>
              <w:adjustRightInd w:val="0"/>
              <w:spacing w:line="240" w:lineRule="auto"/>
              <w:ind w:left="0" w:right="0" w:firstLine="0"/>
              <w:rPr>
                <w:rFonts w:eastAsiaTheme="minorEastAsia" w:cs="Times New Roman"/>
                <w:szCs w:val="24"/>
                <w:lang w:eastAsia="id-ID"/>
              </w:rPr>
            </w:pPr>
          </w:p>
        </w:tc>
      </w:tr>
      <w:tr w:rsidR="00FD6621" w:rsidRPr="00FD6621" w:rsidTr="00EC46DE">
        <w:trPr>
          <w:gridAfter w:val="1"/>
          <w:wAfter w:w="56" w:type="dxa"/>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widowControl w:val="0"/>
              <w:autoSpaceDE w:val="0"/>
              <w:autoSpaceDN w:val="0"/>
              <w:adjustRightInd w:val="0"/>
              <w:spacing w:line="240" w:lineRule="auto"/>
              <w:ind w:left="0" w:right="0" w:firstLine="0"/>
              <w:rPr>
                <w:rFonts w:eastAsiaTheme="minorEastAsia" w:cs="Times New Roman"/>
                <w:szCs w:val="24"/>
                <w:lang w:eastAsia="id-ID"/>
              </w:rPr>
            </w:pPr>
          </w:p>
        </w:tc>
        <w:tc>
          <w:tcPr>
            <w:tcW w:w="1289" w:type="dxa"/>
            <w:tcBorders>
              <w:top w:val="nil"/>
              <w:left w:val="nil"/>
              <w:bottom w:val="single" w:sz="16" w:space="0" w:color="000000"/>
              <w:right w:val="single" w:sz="16" w:space="0" w:color="000000"/>
            </w:tcBorders>
            <w:shd w:val="clear" w:color="auto" w:fill="FFFFFF"/>
          </w:tcPr>
          <w:p w:rsidR="00FD6621" w:rsidRPr="00FD6621" w:rsidRDefault="00FD6621" w:rsidP="00FD6621">
            <w:pPr>
              <w:widowControl w:val="0"/>
              <w:autoSpaceDE w:val="0"/>
              <w:autoSpaceDN w:val="0"/>
              <w:adjustRightInd w:val="0"/>
              <w:spacing w:line="240" w:lineRule="auto"/>
              <w:ind w:left="60" w:right="60" w:firstLine="0"/>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Total</w:t>
            </w:r>
          </w:p>
        </w:tc>
        <w:tc>
          <w:tcPr>
            <w:tcW w:w="1472" w:type="dxa"/>
            <w:tcBorders>
              <w:top w:val="nil"/>
              <w:left w:val="single" w:sz="16" w:space="0" w:color="000000"/>
              <w:bottom w:val="single" w:sz="16" w:space="0" w:color="000000"/>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6,183</w:t>
            </w:r>
          </w:p>
        </w:tc>
        <w:tc>
          <w:tcPr>
            <w:tcW w:w="1027" w:type="dxa"/>
            <w:tcBorders>
              <w:top w:val="nil"/>
              <w:bottom w:val="single" w:sz="16" w:space="0" w:color="000000"/>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59</w:t>
            </w:r>
          </w:p>
        </w:tc>
        <w:tc>
          <w:tcPr>
            <w:tcW w:w="1410" w:type="dxa"/>
            <w:tcBorders>
              <w:top w:val="nil"/>
              <w:bottom w:val="single" w:sz="16" w:space="0" w:color="000000"/>
            </w:tcBorders>
            <w:shd w:val="clear" w:color="auto" w:fill="FFFFFF"/>
            <w:vAlign w:val="center"/>
          </w:tcPr>
          <w:p w:rsidR="00FD6621" w:rsidRPr="00FD6621" w:rsidRDefault="00FD6621" w:rsidP="00FD6621">
            <w:pPr>
              <w:widowControl w:val="0"/>
              <w:autoSpaceDE w:val="0"/>
              <w:autoSpaceDN w:val="0"/>
              <w:adjustRightInd w:val="0"/>
              <w:spacing w:line="240" w:lineRule="auto"/>
              <w:ind w:left="0" w:right="0" w:firstLine="0"/>
              <w:rPr>
                <w:rFonts w:eastAsiaTheme="minorEastAsia" w:cs="Times New Roman"/>
                <w:szCs w:val="24"/>
                <w:lang w:eastAsia="id-ID"/>
              </w:rPr>
            </w:pPr>
          </w:p>
        </w:tc>
        <w:tc>
          <w:tcPr>
            <w:tcW w:w="1027" w:type="dxa"/>
            <w:tcBorders>
              <w:top w:val="nil"/>
              <w:bottom w:val="single" w:sz="16" w:space="0" w:color="000000"/>
            </w:tcBorders>
            <w:shd w:val="clear" w:color="auto" w:fill="FFFFFF"/>
            <w:vAlign w:val="center"/>
          </w:tcPr>
          <w:p w:rsidR="00FD6621" w:rsidRPr="00FD6621" w:rsidRDefault="00FD6621" w:rsidP="00FD6621">
            <w:pPr>
              <w:widowControl w:val="0"/>
              <w:autoSpaceDE w:val="0"/>
              <w:autoSpaceDN w:val="0"/>
              <w:adjustRightInd w:val="0"/>
              <w:spacing w:line="240" w:lineRule="auto"/>
              <w:ind w:left="0" w:right="0" w:firstLine="0"/>
              <w:rPr>
                <w:rFonts w:eastAsiaTheme="minorEastAsia" w:cs="Times New Roman"/>
                <w:szCs w:val="24"/>
                <w:lang w:eastAsia="id-ID"/>
              </w:rPr>
            </w:pPr>
          </w:p>
        </w:tc>
        <w:tc>
          <w:tcPr>
            <w:tcW w:w="1027" w:type="dxa"/>
            <w:tcBorders>
              <w:top w:val="nil"/>
              <w:bottom w:val="single" w:sz="16" w:space="0" w:color="000000"/>
              <w:right w:val="single" w:sz="16" w:space="0" w:color="000000"/>
            </w:tcBorders>
            <w:shd w:val="clear" w:color="auto" w:fill="FFFFFF"/>
            <w:vAlign w:val="center"/>
          </w:tcPr>
          <w:p w:rsidR="00FD6621" w:rsidRPr="00FD6621" w:rsidRDefault="00FD6621" w:rsidP="00FD6621">
            <w:pPr>
              <w:widowControl w:val="0"/>
              <w:autoSpaceDE w:val="0"/>
              <w:autoSpaceDN w:val="0"/>
              <w:adjustRightInd w:val="0"/>
              <w:spacing w:line="240" w:lineRule="auto"/>
              <w:ind w:left="0" w:right="0" w:firstLine="0"/>
              <w:rPr>
                <w:rFonts w:eastAsiaTheme="minorEastAsia" w:cs="Times New Roman"/>
                <w:szCs w:val="24"/>
                <w:lang w:eastAsia="id-ID"/>
              </w:rPr>
            </w:pPr>
          </w:p>
        </w:tc>
      </w:tr>
      <w:tr w:rsidR="00FD6621" w:rsidRPr="00FD6621" w:rsidTr="00EC46DE">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8" w:type="dxa"/>
            <w:right w:w="108" w:type="dxa"/>
          </w:tblCellMar>
          <w:tblLook w:val="04A0" w:firstRow="1" w:lastRow="0" w:firstColumn="1" w:lastColumn="0" w:noHBand="0" w:noVBand="1"/>
        </w:tblPrEx>
        <w:trPr>
          <w:cantSplit/>
          <w:tblHeader/>
        </w:trPr>
        <w:tc>
          <w:tcPr>
            <w:tcW w:w="8045" w:type="dxa"/>
            <w:gridSpan w:val="8"/>
            <w:tcBorders>
              <w:top w:val="nil"/>
              <w:left w:val="nil"/>
              <w:bottom w:val="nil"/>
              <w:right w:val="nil"/>
            </w:tcBorders>
            <w:shd w:val="clear" w:color="auto" w:fill="FFFFFF"/>
            <w:tcMar>
              <w:top w:w="30" w:type="dxa"/>
              <w:left w:w="30" w:type="dxa"/>
              <w:bottom w:w="30" w:type="dxa"/>
              <w:right w:w="30" w:type="dxa"/>
            </w:tcMar>
            <w:hideMark/>
          </w:tcPr>
          <w:p w:rsidR="00FD6621" w:rsidRPr="00FD6621" w:rsidRDefault="00FD6621" w:rsidP="00FD6621">
            <w:pPr>
              <w:autoSpaceDE w:val="0"/>
              <w:autoSpaceDN w:val="0"/>
              <w:adjustRightInd w:val="0"/>
              <w:spacing w:line="240" w:lineRule="auto"/>
              <w:ind w:left="0" w:right="0" w:firstLine="0"/>
              <w:rPr>
                <w:rFonts w:ascii="Arial" w:eastAsia="Calibri" w:hAnsi="Arial" w:cs="Arial"/>
                <w:sz w:val="18"/>
                <w:szCs w:val="18"/>
                <w:lang w:val="en-US"/>
              </w:rPr>
            </w:pPr>
            <w:r w:rsidRPr="00FD6621">
              <w:rPr>
                <w:rFonts w:ascii="Arial" w:eastAsia="Calibri" w:hAnsi="Arial" w:cs="Arial"/>
                <w:sz w:val="18"/>
                <w:szCs w:val="18"/>
                <w:lang w:val="en-US"/>
              </w:rPr>
              <w:t>a. Predictors: (Constant), Umur obligasi, Rasio Cash flow to debt, Rasio Profitabilitas, Rasio Coverage, Rasio Likuiditas, Rasio Leverage</w:t>
            </w:r>
          </w:p>
        </w:tc>
      </w:tr>
      <w:tr w:rsidR="00FD6621" w:rsidRPr="00FD6621" w:rsidTr="00EC46DE">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8" w:type="dxa"/>
            <w:right w:w="108" w:type="dxa"/>
          </w:tblCellMar>
          <w:tblLook w:val="04A0" w:firstRow="1" w:lastRow="0" w:firstColumn="1" w:lastColumn="0" w:noHBand="0" w:noVBand="1"/>
        </w:tblPrEx>
        <w:trPr>
          <w:cantSplit/>
        </w:trPr>
        <w:tc>
          <w:tcPr>
            <w:tcW w:w="8045" w:type="dxa"/>
            <w:gridSpan w:val="8"/>
            <w:tcBorders>
              <w:top w:val="nil"/>
              <w:left w:val="nil"/>
              <w:bottom w:val="nil"/>
              <w:right w:val="nil"/>
            </w:tcBorders>
            <w:shd w:val="clear" w:color="auto" w:fill="FFFFFF"/>
            <w:tcMar>
              <w:top w:w="30" w:type="dxa"/>
              <w:left w:w="30" w:type="dxa"/>
              <w:bottom w:w="30" w:type="dxa"/>
              <w:right w:w="30" w:type="dxa"/>
            </w:tcMar>
            <w:hideMark/>
          </w:tcPr>
          <w:p w:rsidR="00FD6621" w:rsidRPr="00FD6621" w:rsidRDefault="00FD6621" w:rsidP="00FD6621">
            <w:pPr>
              <w:autoSpaceDE w:val="0"/>
              <w:autoSpaceDN w:val="0"/>
              <w:adjustRightInd w:val="0"/>
              <w:spacing w:line="240" w:lineRule="auto"/>
              <w:ind w:left="0" w:right="0" w:firstLine="0"/>
              <w:rPr>
                <w:rFonts w:ascii="Arial" w:eastAsia="Calibri" w:hAnsi="Arial" w:cs="Arial"/>
                <w:sz w:val="18"/>
                <w:szCs w:val="18"/>
                <w:lang w:val="en-US"/>
              </w:rPr>
            </w:pPr>
            <w:r w:rsidRPr="00FD6621">
              <w:rPr>
                <w:rFonts w:ascii="Arial" w:eastAsia="Calibri" w:hAnsi="Arial" w:cs="Arial"/>
                <w:sz w:val="18"/>
                <w:szCs w:val="18"/>
                <w:lang w:val="en-US"/>
              </w:rPr>
              <w:t>b. Dependent Variable: Peringkat</w:t>
            </w:r>
          </w:p>
        </w:tc>
      </w:tr>
    </w:tbl>
    <w:p w:rsidR="00FD6621" w:rsidRPr="00FD6621" w:rsidRDefault="00FD6621" w:rsidP="00B83BFC">
      <w:pPr>
        <w:autoSpaceDE w:val="0"/>
        <w:autoSpaceDN w:val="0"/>
        <w:adjustRightInd w:val="0"/>
        <w:spacing w:line="276" w:lineRule="auto"/>
        <w:ind w:left="0" w:right="0" w:firstLine="0"/>
        <w:rPr>
          <w:rFonts w:eastAsia="Calibri" w:cs="Times New Roman"/>
          <w:i/>
          <w:sz w:val="22"/>
        </w:rPr>
      </w:pPr>
      <w:r w:rsidRPr="00FD6621">
        <w:rPr>
          <w:rFonts w:eastAsia="Calibri" w:cs="Times New Roman"/>
          <w:i/>
          <w:sz w:val="22"/>
        </w:rPr>
        <w:t>Sumber: Hasil Olahan SPSS</w:t>
      </w:r>
    </w:p>
    <w:p w:rsidR="0098783B" w:rsidRDefault="00FD6621" w:rsidP="0098783B">
      <w:pPr>
        <w:autoSpaceDE w:val="0"/>
        <w:autoSpaceDN w:val="0"/>
        <w:adjustRightInd w:val="0"/>
        <w:spacing w:line="360" w:lineRule="auto"/>
        <w:ind w:left="0" w:right="0" w:firstLine="0"/>
        <w:jc w:val="both"/>
        <w:rPr>
          <w:rFonts w:eastAsia="Calibri" w:cs="Times New Roman"/>
          <w:sz w:val="22"/>
        </w:rPr>
      </w:pPr>
      <w:r w:rsidRPr="00FD6621">
        <w:rPr>
          <w:rFonts w:eastAsia="Calibri" w:cs="Times New Roman"/>
          <w:sz w:val="22"/>
        </w:rPr>
        <w:tab/>
      </w:r>
      <w:r w:rsidR="003B1687" w:rsidRPr="003B1687">
        <w:rPr>
          <w:rFonts w:eastAsia="Calibri" w:cs="Times New Roman"/>
          <w:sz w:val="22"/>
        </w:rPr>
        <w:t xml:space="preserve">Hasil pengujian menunjukkan bahwa secara simultan </w:t>
      </w:r>
      <w:r w:rsidR="003B1687" w:rsidRPr="003B1687">
        <w:rPr>
          <w:rFonts w:eastAsia="Calibri" w:cs="Times New Roman"/>
          <w:sz w:val="22"/>
          <w:lang w:val="en-US"/>
        </w:rPr>
        <w:t xml:space="preserve">likuiditas, </w:t>
      </w:r>
      <w:r w:rsidR="003B1687" w:rsidRPr="003B1687">
        <w:rPr>
          <w:rFonts w:eastAsia="Calibri" w:cs="Times New Roman"/>
          <w:i/>
          <w:sz w:val="22"/>
          <w:lang w:val="en-US"/>
        </w:rPr>
        <w:t>leverage</w:t>
      </w:r>
      <w:r w:rsidR="003B1687" w:rsidRPr="003B1687">
        <w:rPr>
          <w:rFonts w:eastAsia="Calibri" w:cs="Times New Roman"/>
          <w:sz w:val="22"/>
          <w:lang w:val="en-US"/>
        </w:rPr>
        <w:t xml:space="preserve">, </w:t>
      </w:r>
      <w:r w:rsidR="003B1687" w:rsidRPr="003B1687">
        <w:rPr>
          <w:rFonts w:eastAsia="Calibri" w:cs="Times New Roman"/>
          <w:i/>
          <w:sz w:val="22"/>
          <w:lang w:val="en-US"/>
        </w:rPr>
        <w:t>coverage</w:t>
      </w:r>
      <w:r w:rsidR="003B1687" w:rsidRPr="003B1687">
        <w:rPr>
          <w:rFonts w:eastAsia="Calibri" w:cs="Times New Roman"/>
          <w:sz w:val="22"/>
          <w:lang w:val="en-US"/>
        </w:rPr>
        <w:t xml:space="preserve">, </w:t>
      </w:r>
      <w:r w:rsidR="003B1687" w:rsidRPr="003B1687">
        <w:rPr>
          <w:rFonts w:eastAsia="Calibri" w:cs="Times New Roman"/>
          <w:i/>
          <w:sz w:val="22"/>
          <w:lang w:val="en-US"/>
        </w:rPr>
        <w:t>cash flow to debt</w:t>
      </w:r>
      <w:r w:rsidR="003B1687" w:rsidRPr="003B1687">
        <w:rPr>
          <w:rFonts w:eastAsia="Calibri" w:cs="Times New Roman"/>
          <w:sz w:val="22"/>
          <w:lang w:val="en-US"/>
        </w:rPr>
        <w:t xml:space="preserve">, profitabilitas, </w:t>
      </w:r>
      <w:r w:rsidR="003B1687" w:rsidRPr="003B1687">
        <w:rPr>
          <w:rFonts w:eastAsia="Calibri" w:cs="Times New Roman"/>
          <w:sz w:val="22"/>
        </w:rPr>
        <w:t>d</w:t>
      </w:r>
      <w:r w:rsidR="003B1687" w:rsidRPr="003B1687">
        <w:rPr>
          <w:rFonts w:eastAsia="Calibri" w:cs="Times New Roman"/>
          <w:sz w:val="22"/>
          <w:lang w:val="en-US"/>
        </w:rPr>
        <w:t>an umur obligasi</w:t>
      </w:r>
      <w:r w:rsidR="003B1687" w:rsidRPr="003B1687">
        <w:rPr>
          <w:rFonts w:eastAsia="Calibri" w:cs="Times New Roman"/>
          <w:sz w:val="22"/>
        </w:rPr>
        <w:t xml:space="preserve"> memiliki pengaruh signifikan terhadap peringkat obligasi dengan nilai signifikansi 0.000 dimana nilai tersebut lebih kecil dari 0,05 (α = 5%).</w:t>
      </w:r>
    </w:p>
    <w:p w:rsidR="00FC6A51" w:rsidRDefault="00FC6A51">
      <w:pPr>
        <w:rPr>
          <w:rFonts w:eastAsia="Calibri" w:cs="Times New Roman"/>
          <w:i/>
          <w:sz w:val="22"/>
        </w:rPr>
      </w:pPr>
      <w:r>
        <w:rPr>
          <w:rFonts w:eastAsia="Calibri" w:cs="Times New Roman"/>
          <w:i/>
          <w:sz w:val="22"/>
        </w:rPr>
        <w:br w:type="page"/>
      </w:r>
    </w:p>
    <w:p w:rsidR="00C201F2" w:rsidRDefault="00C201F2" w:rsidP="0098783B">
      <w:pPr>
        <w:autoSpaceDE w:val="0"/>
        <w:autoSpaceDN w:val="0"/>
        <w:adjustRightInd w:val="0"/>
        <w:spacing w:line="360" w:lineRule="auto"/>
        <w:ind w:left="0" w:right="0" w:firstLine="0"/>
        <w:jc w:val="both"/>
        <w:rPr>
          <w:rFonts w:eastAsia="Calibri" w:cs="Times New Roman"/>
          <w:i/>
          <w:sz w:val="22"/>
        </w:rPr>
      </w:pPr>
      <w:r>
        <w:rPr>
          <w:rFonts w:eastAsia="Calibri" w:cs="Times New Roman"/>
          <w:i/>
          <w:sz w:val="22"/>
        </w:rPr>
        <w:t>4.2 Pembahasan</w:t>
      </w:r>
    </w:p>
    <w:p w:rsidR="00AE4427" w:rsidRPr="00147399" w:rsidRDefault="00C201F2" w:rsidP="00DA151E">
      <w:pPr>
        <w:autoSpaceDE w:val="0"/>
        <w:autoSpaceDN w:val="0"/>
        <w:adjustRightInd w:val="0"/>
        <w:spacing w:line="360" w:lineRule="auto"/>
        <w:ind w:left="0" w:right="0" w:firstLine="0"/>
        <w:jc w:val="both"/>
        <w:rPr>
          <w:rFonts w:eastAsia="Calibri" w:cs="Times New Roman"/>
          <w:sz w:val="22"/>
        </w:rPr>
      </w:pPr>
      <w:r>
        <w:rPr>
          <w:rFonts w:eastAsia="Calibri" w:cs="Times New Roman"/>
          <w:sz w:val="22"/>
        </w:rPr>
        <w:tab/>
        <w:t xml:space="preserve">Penelitian ini bertujuan untuk mengetahui </w:t>
      </w:r>
      <w:r w:rsidR="00DA151E">
        <w:rPr>
          <w:rFonts w:eastAsia="Calibri" w:cs="Times New Roman"/>
          <w:sz w:val="22"/>
        </w:rPr>
        <w:t xml:space="preserve">apakah terdapat pengaruh faktor akuntansi (rasio likuiditas, rasio </w:t>
      </w:r>
      <w:r w:rsidR="00DA151E">
        <w:rPr>
          <w:rFonts w:eastAsia="Calibri" w:cs="Times New Roman"/>
          <w:i/>
          <w:sz w:val="22"/>
        </w:rPr>
        <w:t>leverage</w:t>
      </w:r>
      <w:r w:rsidR="00DA151E">
        <w:rPr>
          <w:rFonts w:eastAsia="Calibri" w:cs="Times New Roman"/>
          <w:sz w:val="22"/>
        </w:rPr>
        <w:t xml:space="preserve">, rasio </w:t>
      </w:r>
      <w:r w:rsidR="00DA151E">
        <w:rPr>
          <w:rFonts w:eastAsia="Calibri" w:cs="Times New Roman"/>
          <w:i/>
          <w:sz w:val="22"/>
        </w:rPr>
        <w:t>coverage</w:t>
      </w:r>
      <w:r w:rsidR="00DA151E">
        <w:rPr>
          <w:rFonts w:eastAsia="Calibri" w:cs="Times New Roman"/>
          <w:sz w:val="22"/>
        </w:rPr>
        <w:t xml:space="preserve">, rasio </w:t>
      </w:r>
      <w:r w:rsidR="00DA151E" w:rsidRPr="00DA151E">
        <w:rPr>
          <w:rFonts w:eastAsia="Calibri" w:cs="Times New Roman"/>
          <w:i/>
          <w:sz w:val="22"/>
        </w:rPr>
        <w:t>c</w:t>
      </w:r>
      <w:r w:rsidR="00DA151E">
        <w:rPr>
          <w:rFonts w:eastAsia="Calibri" w:cs="Times New Roman"/>
          <w:i/>
          <w:sz w:val="22"/>
        </w:rPr>
        <w:t>ash flow to debt</w:t>
      </w:r>
      <w:r w:rsidR="00DA151E">
        <w:rPr>
          <w:rFonts w:eastAsia="Calibri" w:cs="Times New Roman"/>
          <w:sz w:val="22"/>
        </w:rPr>
        <w:t xml:space="preserve"> dan rasio profitabilitas) serta faktor </w:t>
      </w:r>
      <w:r w:rsidR="00DA151E" w:rsidRPr="00DA151E">
        <w:rPr>
          <w:rFonts w:eastAsia="Calibri" w:cs="Times New Roman"/>
          <w:i/>
          <w:sz w:val="22"/>
        </w:rPr>
        <w:t>non</w:t>
      </w:r>
      <w:r w:rsidR="00DA151E">
        <w:rPr>
          <w:rFonts w:eastAsia="Calibri" w:cs="Times New Roman"/>
          <w:sz w:val="22"/>
        </w:rPr>
        <w:t xml:space="preserve">-akuntansi (umur obligasi) terhadap peringkat obligasi yang dilakukan oleh PT Pefindo. Hasil pengujian menunjukkan </w:t>
      </w:r>
      <w:r w:rsidR="00DA151E" w:rsidRPr="00DA151E">
        <w:rPr>
          <w:rFonts w:eastAsia="Calibri" w:cs="Times New Roman"/>
          <w:sz w:val="22"/>
        </w:rPr>
        <w:t xml:space="preserve">rasio likuiditas, rasio </w:t>
      </w:r>
      <w:r w:rsidR="00DA151E" w:rsidRPr="00DA151E">
        <w:rPr>
          <w:rFonts w:eastAsia="Calibri" w:cs="Times New Roman"/>
          <w:i/>
          <w:sz w:val="22"/>
        </w:rPr>
        <w:t>leverage</w:t>
      </w:r>
      <w:r w:rsidR="00DA151E" w:rsidRPr="00DA151E">
        <w:rPr>
          <w:rFonts w:eastAsia="Calibri" w:cs="Times New Roman"/>
          <w:sz w:val="22"/>
        </w:rPr>
        <w:t xml:space="preserve">, rasio </w:t>
      </w:r>
      <w:r w:rsidR="00DA151E" w:rsidRPr="00DA151E">
        <w:rPr>
          <w:rFonts w:eastAsia="Calibri" w:cs="Times New Roman"/>
          <w:i/>
          <w:sz w:val="22"/>
        </w:rPr>
        <w:t>coverage</w:t>
      </w:r>
      <w:r w:rsidR="00DA151E" w:rsidRPr="00DA151E">
        <w:rPr>
          <w:rFonts w:eastAsia="Calibri" w:cs="Times New Roman"/>
          <w:sz w:val="22"/>
        </w:rPr>
        <w:t xml:space="preserve">, rasio </w:t>
      </w:r>
      <w:r w:rsidR="00DA151E" w:rsidRPr="00DA151E">
        <w:rPr>
          <w:rFonts w:eastAsia="Calibri" w:cs="Times New Roman"/>
          <w:i/>
          <w:sz w:val="22"/>
        </w:rPr>
        <w:t>cash flow to debt</w:t>
      </w:r>
      <w:r w:rsidR="00DA151E">
        <w:rPr>
          <w:rFonts w:eastAsia="Calibri" w:cs="Times New Roman"/>
          <w:sz w:val="22"/>
        </w:rPr>
        <w:t>,</w:t>
      </w:r>
      <w:r w:rsidR="00DA151E" w:rsidRPr="00DA151E">
        <w:rPr>
          <w:rFonts w:eastAsia="Calibri" w:cs="Times New Roman"/>
          <w:sz w:val="22"/>
        </w:rPr>
        <w:t xml:space="preserve"> rasio profitabilitas</w:t>
      </w:r>
      <w:r w:rsidR="00DA151E">
        <w:rPr>
          <w:rFonts w:eastAsia="Calibri" w:cs="Times New Roman"/>
          <w:sz w:val="22"/>
        </w:rPr>
        <w:t xml:space="preserve">, umur obligasi secara simultan berpengaruh signifikan. </w:t>
      </w:r>
      <w:r w:rsidR="00DA151E" w:rsidRPr="00DA151E">
        <w:rPr>
          <w:rFonts w:eastAsia="Calibri" w:cs="Times New Roman"/>
          <w:sz w:val="22"/>
        </w:rPr>
        <w:t xml:space="preserve">Hal tersebut </w:t>
      </w:r>
      <w:r w:rsidR="00DA151E">
        <w:rPr>
          <w:rFonts w:eastAsia="Calibri" w:cs="Times New Roman"/>
          <w:sz w:val="22"/>
        </w:rPr>
        <w:t xml:space="preserve">memiliki </w:t>
      </w:r>
      <w:r w:rsidR="00DA151E" w:rsidRPr="00DA151E">
        <w:rPr>
          <w:rFonts w:eastAsia="Calibri" w:cs="Times New Roman"/>
          <w:sz w:val="22"/>
        </w:rPr>
        <w:t xml:space="preserve">arti bahwa setiap perubahan likuiditas, </w:t>
      </w:r>
      <w:r w:rsidR="00DA151E" w:rsidRPr="00DA151E">
        <w:rPr>
          <w:rFonts w:eastAsia="Calibri" w:cs="Times New Roman"/>
          <w:i/>
          <w:sz w:val="22"/>
        </w:rPr>
        <w:t>coverage</w:t>
      </w:r>
      <w:r w:rsidR="00DA151E" w:rsidRPr="00DA151E">
        <w:rPr>
          <w:rFonts w:eastAsia="Calibri" w:cs="Times New Roman"/>
          <w:sz w:val="22"/>
        </w:rPr>
        <w:t xml:space="preserve">, </w:t>
      </w:r>
      <w:r w:rsidR="00DA151E" w:rsidRPr="00DA151E">
        <w:rPr>
          <w:rFonts w:eastAsia="Calibri" w:cs="Times New Roman"/>
          <w:i/>
          <w:sz w:val="22"/>
        </w:rPr>
        <w:t>cash flow to debt</w:t>
      </w:r>
      <w:r w:rsidR="00DA151E" w:rsidRPr="00DA151E">
        <w:rPr>
          <w:rFonts w:eastAsia="Calibri" w:cs="Times New Roman"/>
          <w:sz w:val="22"/>
        </w:rPr>
        <w:t>, profitabilitas, dan umur obligasi perusahaan akan mempengaruhi peringkat obl</w:t>
      </w:r>
      <w:r w:rsidR="00DA151E">
        <w:rPr>
          <w:rFonts w:eastAsia="Calibri" w:cs="Times New Roman"/>
          <w:sz w:val="22"/>
        </w:rPr>
        <w:t>igasi yang di peringkat oleh PT</w:t>
      </w:r>
      <w:r w:rsidR="00DA151E" w:rsidRPr="00DA151E">
        <w:rPr>
          <w:rFonts w:eastAsia="Calibri" w:cs="Times New Roman"/>
          <w:sz w:val="22"/>
        </w:rPr>
        <w:t xml:space="preserve"> Pefindo. Sehingga hasil tersebut menunjukkan adanya kontribusi informasi laporan keuangan yang ku</w:t>
      </w:r>
      <w:r w:rsidR="00147399">
        <w:rPr>
          <w:rFonts w:eastAsia="Calibri" w:cs="Times New Roman"/>
          <w:sz w:val="22"/>
        </w:rPr>
        <w:t xml:space="preserve">at dalam pemeringkatan obligasi. </w:t>
      </w:r>
      <w:r w:rsidR="00DA151E">
        <w:rPr>
          <w:rFonts w:eastAsia="Calibri" w:cs="Times New Roman"/>
          <w:sz w:val="22"/>
        </w:rPr>
        <w:t xml:space="preserve">Namun, secara parsial hanya rasio </w:t>
      </w:r>
      <w:r w:rsidR="00DA151E">
        <w:rPr>
          <w:rFonts w:eastAsia="Calibri" w:cs="Times New Roman"/>
          <w:i/>
          <w:sz w:val="22"/>
        </w:rPr>
        <w:t>leverage</w:t>
      </w:r>
      <w:r w:rsidR="00DA151E">
        <w:rPr>
          <w:rFonts w:eastAsia="Calibri" w:cs="Times New Roman"/>
          <w:sz w:val="22"/>
        </w:rPr>
        <w:t xml:space="preserve"> yang memiliki pengaruh </w:t>
      </w:r>
      <w:r w:rsidR="00147399">
        <w:rPr>
          <w:rFonts w:eastAsia="Calibri" w:cs="Times New Roman"/>
          <w:sz w:val="22"/>
        </w:rPr>
        <w:t xml:space="preserve">negatif </w:t>
      </w:r>
      <w:r w:rsidR="00DA151E">
        <w:rPr>
          <w:rFonts w:eastAsia="Calibri" w:cs="Times New Roman"/>
          <w:sz w:val="22"/>
        </w:rPr>
        <w:t>signifikan terhadap peringkat obligasi oleh PT Pefindo.</w:t>
      </w:r>
      <w:r w:rsidR="00147399">
        <w:rPr>
          <w:rFonts w:eastAsia="Calibri" w:cs="Times New Roman"/>
          <w:sz w:val="22"/>
        </w:rPr>
        <w:t xml:space="preserve"> Hal ini berarti hipotesis yang sudah dirumuskan sebelumnya bahwa </w:t>
      </w:r>
      <w:r w:rsidR="00147399">
        <w:rPr>
          <w:rFonts w:eastAsia="Calibri" w:cs="Times New Roman"/>
          <w:i/>
          <w:sz w:val="22"/>
        </w:rPr>
        <w:t>l</w:t>
      </w:r>
      <w:r w:rsidR="00147399" w:rsidRPr="00147399">
        <w:rPr>
          <w:rFonts w:eastAsia="Calibri" w:cs="Times New Roman"/>
          <w:i/>
          <w:sz w:val="22"/>
        </w:rPr>
        <w:t xml:space="preserve">everage </w:t>
      </w:r>
      <w:r w:rsidR="00147399" w:rsidRPr="00147399">
        <w:rPr>
          <w:rFonts w:eastAsia="Calibri" w:cs="Times New Roman"/>
          <w:sz w:val="22"/>
        </w:rPr>
        <w:t>berpengaruh negatif terhadap peringkat obligasi</w:t>
      </w:r>
      <w:r w:rsidR="00147399">
        <w:rPr>
          <w:rFonts w:eastAsia="Calibri" w:cs="Times New Roman"/>
          <w:sz w:val="22"/>
        </w:rPr>
        <w:t xml:space="preserve"> diterima. Semakin tinggi rasio </w:t>
      </w:r>
      <w:r w:rsidR="00147399">
        <w:rPr>
          <w:rFonts w:eastAsia="Calibri" w:cs="Times New Roman"/>
          <w:i/>
          <w:sz w:val="22"/>
        </w:rPr>
        <w:t xml:space="preserve">leverage </w:t>
      </w:r>
      <w:r w:rsidR="00147399">
        <w:rPr>
          <w:rFonts w:eastAsia="Calibri" w:cs="Times New Roman"/>
          <w:sz w:val="22"/>
        </w:rPr>
        <w:t>maka semakin rendah peringkat obligasi yang akan diperoleh.</w:t>
      </w:r>
    </w:p>
    <w:p w:rsidR="00DA151E" w:rsidRPr="00DA151E" w:rsidRDefault="00DA151E" w:rsidP="00DA151E">
      <w:pPr>
        <w:autoSpaceDE w:val="0"/>
        <w:autoSpaceDN w:val="0"/>
        <w:adjustRightInd w:val="0"/>
        <w:spacing w:line="360" w:lineRule="auto"/>
        <w:ind w:left="0" w:right="0" w:firstLine="0"/>
        <w:jc w:val="both"/>
        <w:rPr>
          <w:rFonts w:cs="Times New Roman"/>
          <w:b/>
          <w:sz w:val="22"/>
        </w:rPr>
      </w:pPr>
      <w:r>
        <w:rPr>
          <w:rFonts w:eastAsia="Calibri" w:cs="Times New Roman"/>
          <w:b/>
          <w:sz w:val="22"/>
        </w:rPr>
        <w:t>5. SIMPULAN</w:t>
      </w:r>
    </w:p>
    <w:p w:rsidR="00D56A55" w:rsidRDefault="00143667" w:rsidP="0098783B">
      <w:pPr>
        <w:spacing w:line="360" w:lineRule="auto"/>
        <w:ind w:left="0" w:firstLine="0"/>
        <w:jc w:val="both"/>
        <w:rPr>
          <w:iCs/>
          <w:sz w:val="22"/>
        </w:rPr>
      </w:pPr>
      <w:r>
        <w:rPr>
          <w:sz w:val="22"/>
        </w:rPr>
        <w:tab/>
      </w:r>
      <w:r w:rsidR="00EC46DE" w:rsidRPr="00EC46DE">
        <w:rPr>
          <w:sz w:val="22"/>
        </w:rPr>
        <w:t>Hasil pengujian menunjukkan bahwa</w:t>
      </w:r>
      <w:r w:rsidR="00EC46DE">
        <w:rPr>
          <w:sz w:val="22"/>
        </w:rPr>
        <w:t xml:space="preserve"> secara parsial hanya</w:t>
      </w:r>
      <w:r w:rsidR="00EC46DE" w:rsidRPr="00EC46DE">
        <w:rPr>
          <w:sz w:val="22"/>
        </w:rPr>
        <w:t xml:space="preserve"> </w:t>
      </w:r>
      <w:r w:rsidR="00EC46DE">
        <w:rPr>
          <w:i/>
          <w:sz w:val="22"/>
        </w:rPr>
        <w:t>leverage</w:t>
      </w:r>
      <w:r w:rsidR="00EC46DE">
        <w:rPr>
          <w:sz w:val="22"/>
        </w:rPr>
        <w:t xml:space="preserve"> yang memiliki pengaruh signifika</w:t>
      </w:r>
      <w:r w:rsidR="00D56A55">
        <w:rPr>
          <w:sz w:val="22"/>
        </w:rPr>
        <w:t>n terhadap peringkat obligasi. S</w:t>
      </w:r>
      <w:r w:rsidR="00EC46DE">
        <w:rPr>
          <w:sz w:val="22"/>
        </w:rPr>
        <w:t>edangkan</w:t>
      </w:r>
      <w:r w:rsidR="00EC46DE">
        <w:rPr>
          <w:i/>
          <w:sz w:val="22"/>
        </w:rPr>
        <w:t xml:space="preserve"> </w:t>
      </w:r>
      <w:r w:rsidR="00EC46DE" w:rsidRPr="00EC46DE">
        <w:rPr>
          <w:sz w:val="22"/>
        </w:rPr>
        <w:t xml:space="preserve">likuiditas, </w:t>
      </w:r>
      <w:r w:rsidR="00EC46DE" w:rsidRPr="00EC46DE">
        <w:rPr>
          <w:i/>
          <w:sz w:val="22"/>
        </w:rPr>
        <w:t>coverage</w:t>
      </w:r>
      <w:r w:rsidR="00EC46DE" w:rsidRPr="00EC46DE">
        <w:rPr>
          <w:sz w:val="22"/>
        </w:rPr>
        <w:t xml:space="preserve">, </w:t>
      </w:r>
      <w:r w:rsidR="00EC46DE" w:rsidRPr="00EC46DE">
        <w:rPr>
          <w:i/>
          <w:sz w:val="22"/>
        </w:rPr>
        <w:t>cash flow to debt</w:t>
      </w:r>
      <w:r w:rsidR="00EC46DE" w:rsidRPr="00EC46DE">
        <w:rPr>
          <w:sz w:val="22"/>
        </w:rPr>
        <w:t xml:space="preserve">, profitabilitas dan umur obligasi tidak memiliki pengaruh signifikan terhadap peringkat obligasi, yang berarti bahwa likuiditas, </w:t>
      </w:r>
      <w:r w:rsidR="00EC46DE" w:rsidRPr="00EC46DE">
        <w:rPr>
          <w:i/>
          <w:sz w:val="22"/>
        </w:rPr>
        <w:t>coverage</w:t>
      </w:r>
      <w:r w:rsidR="00EC46DE" w:rsidRPr="00EC46DE">
        <w:rPr>
          <w:sz w:val="22"/>
        </w:rPr>
        <w:t xml:space="preserve">, </w:t>
      </w:r>
      <w:r w:rsidR="00EC46DE" w:rsidRPr="00EC46DE">
        <w:rPr>
          <w:i/>
          <w:sz w:val="22"/>
        </w:rPr>
        <w:t>cash flow to debt</w:t>
      </w:r>
      <w:r w:rsidR="00EC46DE" w:rsidRPr="00EC46DE">
        <w:rPr>
          <w:sz w:val="22"/>
        </w:rPr>
        <w:t>, profitabilitas dan umur obligasi tidak dapat memberikan sinyal kepad</w:t>
      </w:r>
      <w:r w:rsidR="00EC46DE">
        <w:rPr>
          <w:sz w:val="22"/>
        </w:rPr>
        <w:t>a investor maupun kreditor menge</w:t>
      </w:r>
      <w:r w:rsidR="00EC46DE" w:rsidRPr="00EC46DE">
        <w:rPr>
          <w:sz w:val="22"/>
        </w:rPr>
        <w:t>nai apakah suatu entitas bebas dari risiko gagal bayar dan mampu untuk mendapatkan peringkat obligasi yang</w:t>
      </w:r>
      <w:r w:rsidR="00EC46DE" w:rsidRPr="00EC46DE">
        <w:rPr>
          <w:i/>
          <w:iCs/>
          <w:sz w:val="22"/>
        </w:rPr>
        <w:t xml:space="preserve"> investment grade.</w:t>
      </w:r>
      <w:r w:rsidR="00EC46DE">
        <w:rPr>
          <w:iCs/>
          <w:sz w:val="22"/>
        </w:rPr>
        <w:t xml:space="preserve"> Namun, hal ini berbeda dengan hasil pengujian </w:t>
      </w:r>
      <w:r w:rsidR="00D56A55">
        <w:rPr>
          <w:iCs/>
          <w:sz w:val="22"/>
        </w:rPr>
        <w:t xml:space="preserve">secara </w:t>
      </w:r>
      <w:r w:rsidR="00EC46DE">
        <w:rPr>
          <w:iCs/>
          <w:sz w:val="22"/>
        </w:rPr>
        <w:t>simultan</w:t>
      </w:r>
      <w:r w:rsidR="00D56A55">
        <w:rPr>
          <w:iCs/>
          <w:sz w:val="22"/>
        </w:rPr>
        <w:t xml:space="preserve"> yang menunjukkan </w:t>
      </w:r>
      <w:r w:rsidR="00D56A55" w:rsidRPr="00D56A55">
        <w:rPr>
          <w:iCs/>
          <w:sz w:val="22"/>
        </w:rPr>
        <w:t xml:space="preserve">bahwa likuiditas, </w:t>
      </w:r>
      <w:r w:rsidR="00D56A55" w:rsidRPr="00D56A55">
        <w:rPr>
          <w:i/>
          <w:iCs/>
          <w:sz w:val="22"/>
        </w:rPr>
        <w:t>leverage</w:t>
      </w:r>
      <w:r w:rsidR="00D56A55" w:rsidRPr="00D56A55">
        <w:rPr>
          <w:iCs/>
          <w:sz w:val="22"/>
        </w:rPr>
        <w:t xml:space="preserve">, </w:t>
      </w:r>
      <w:r w:rsidR="00D56A55" w:rsidRPr="00D56A55">
        <w:rPr>
          <w:i/>
          <w:iCs/>
          <w:sz w:val="22"/>
        </w:rPr>
        <w:t>coverage</w:t>
      </w:r>
      <w:r w:rsidR="00D56A55" w:rsidRPr="00D56A55">
        <w:rPr>
          <w:iCs/>
          <w:sz w:val="22"/>
        </w:rPr>
        <w:t xml:space="preserve">, </w:t>
      </w:r>
      <w:r w:rsidR="00D56A55" w:rsidRPr="00D56A55">
        <w:rPr>
          <w:i/>
          <w:iCs/>
          <w:sz w:val="22"/>
        </w:rPr>
        <w:t>cash flow to debt</w:t>
      </w:r>
      <w:r w:rsidR="00D56A55" w:rsidRPr="00D56A55">
        <w:rPr>
          <w:iCs/>
          <w:sz w:val="22"/>
        </w:rPr>
        <w:t xml:space="preserve">, profitabilitas, dan umur obligasi secara bersama-sama mempunyai pengaruh yang signifikan terhadap peringkat obligasi. Hasil tersebut menunjukkan adanya kontribusi informasi laporan keuangan yang kuat dalam pemeringkatan obligasi oleh </w:t>
      </w:r>
      <w:r>
        <w:rPr>
          <w:iCs/>
          <w:sz w:val="22"/>
        </w:rPr>
        <w:t xml:space="preserve">PT </w:t>
      </w:r>
      <w:r w:rsidR="00D56A55" w:rsidRPr="00D56A55">
        <w:rPr>
          <w:iCs/>
          <w:sz w:val="22"/>
        </w:rPr>
        <w:t>P</w:t>
      </w:r>
      <w:r>
        <w:rPr>
          <w:iCs/>
          <w:sz w:val="22"/>
        </w:rPr>
        <w:t>efindo</w:t>
      </w:r>
      <w:r w:rsidR="00D56A55" w:rsidRPr="00D56A55">
        <w:rPr>
          <w:iCs/>
          <w:sz w:val="22"/>
        </w:rPr>
        <w:t>.</w:t>
      </w:r>
    </w:p>
    <w:p w:rsidR="00025C8A" w:rsidRPr="00143667" w:rsidRDefault="00AE4427" w:rsidP="004A1F76">
      <w:pPr>
        <w:spacing w:after="120" w:line="240" w:lineRule="auto"/>
        <w:ind w:left="0" w:firstLine="0"/>
        <w:jc w:val="both"/>
        <w:rPr>
          <w:rFonts w:cs="Times New Roman"/>
          <w:b/>
          <w:sz w:val="22"/>
        </w:rPr>
      </w:pPr>
      <w:r w:rsidRPr="00143667">
        <w:rPr>
          <w:rFonts w:cs="Times New Roman"/>
          <w:b/>
          <w:sz w:val="22"/>
        </w:rPr>
        <w:t>REFERENSI</w:t>
      </w:r>
    </w:p>
    <w:p w:rsidR="008C6B84" w:rsidRPr="00143667" w:rsidRDefault="00025C8A" w:rsidP="004A1F76">
      <w:pPr>
        <w:spacing w:after="120" w:line="240" w:lineRule="auto"/>
        <w:ind w:left="720" w:right="0" w:hanging="720"/>
        <w:jc w:val="both"/>
        <w:rPr>
          <w:rFonts w:eastAsia="Calibri" w:cs="Times New Roman"/>
          <w:sz w:val="22"/>
        </w:rPr>
      </w:pPr>
      <w:r w:rsidRPr="00143667">
        <w:rPr>
          <w:rFonts w:eastAsia="Calibri" w:cs="Times New Roman"/>
          <w:sz w:val="22"/>
          <w:lang w:val="en-US"/>
        </w:rPr>
        <w:t xml:space="preserve">Brigham &amp; Houston. 2012. </w:t>
      </w:r>
      <w:r w:rsidRPr="00143667">
        <w:rPr>
          <w:rFonts w:eastAsia="Calibri" w:cs="Times New Roman"/>
          <w:i/>
          <w:sz w:val="22"/>
          <w:lang w:val="en-US"/>
        </w:rPr>
        <w:t>Dasar-dasar Manajemen Keuangan</w:t>
      </w:r>
      <w:r w:rsidRPr="00143667">
        <w:rPr>
          <w:rFonts w:eastAsia="Calibri" w:cs="Times New Roman"/>
          <w:sz w:val="22"/>
          <w:lang w:val="en-US"/>
        </w:rPr>
        <w:t>. Salemba Empat, Jakarta</w:t>
      </w:r>
      <w:r w:rsidRPr="00143667">
        <w:rPr>
          <w:rFonts w:eastAsia="Calibri" w:cs="Times New Roman"/>
          <w:sz w:val="22"/>
        </w:rPr>
        <w:t>.</w:t>
      </w:r>
    </w:p>
    <w:p w:rsidR="008C6B84" w:rsidRPr="00143667" w:rsidRDefault="00025C8A" w:rsidP="004A1F76">
      <w:pPr>
        <w:autoSpaceDE w:val="0"/>
        <w:autoSpaceDN w:val="0"/>
        <w:adjustRightInd w:val="0"/>
        <w:spacing w:after="120" w:line="240" w:lineRule="auto"/>
        <w:ind w:left="0" w:right="0" w:firstLine="0"/>
        <w:jc w:val="both"/>
        <w:rPr>
          <w:rFonts w:cs="Times New Roman"/>
          <w:bCs/>
          <w:color w:val="000000"/>
          <w:sz w:val="22"/>
        </w:rPr>
      </w:pPr>
      <w:r w:rsidRPr="00143667">
        <w:rPr>
          <w:rFonts w:cs="Times New Roman"/>
          <w:bCs/>
          <w:color w:val="000000"/>
          <w:sz w:val="22"/>
        </w:rPr>
        <w:t xml:space="preserve">Cahyonowati dan Mahfudhoh. 2014. </w:t>
      </w:r>
      <w:r w:rsidR="00143667" w:rsidRPr="00143667">
        <w:rPr>
          <w:rFonts w:cs="Times New Roman"/>
          <w:bCs/>
          <w:i/>
          <w:color w:val="000000"/>
          <w:sz w:val="22"/>
        </w:rPr>
        <w:t xml:space="preserve">Analisis Faktor-faktor yang </w:t>
      </w:r>
      <w:r w:rsidRPr="00143667">
        <w:rPr>
          <w:rFonts w:cs="Times New Roman"/>
          <w:bCs/>
          <w:i/>
          <w:color w:val="000000"/>
          <w:sz w:val="22"/>
        </w:rPr>
        <w:t>Mempenga</w:t>
      </w:r>
      <w:r w:rsidR="00143667" w:rsidRPr="00143667">
        <w:rPr>
          <w:rFonts w:cs="Times New Roman"/>
          <w:bCs/>
          <w:i/>
          <w:color w:val="000000"/>
          <w:sz w:val="22"/>
        </w:rPr>
        <w:t xml:space="preserve">ruhi Peringkat </w:t>
      </w:r>
      <w:r w:rsidRPr="00143667">
        <w:rPr>
          <w:rFonts w:cs="Times New Roman"/>
          <w:bCs/>
          <w:i/>
          <w:color w:val="000000"/>
          <w:sz w:val="22"/>
        </w:rPr>
        <w:t>Obligasi</w:t>
      </w:r>
      <w:r w:rsidRPr="00143667">
        <w:rPr>
          <w:rFonts w:cs="Times New Roman"/>
          <w:bCs/>
          <w:color w:val="000000"/>
          <w:sz w:val="22"/>
        </w:rPr>
        <w:t xml:space="preserve">. </w:t>
      </w:r>
      <w:r w:rsidR="00143667" w:rsidRPr="00143667">
        <w:rPr>
          <w:rFonts w:cs="Times New Roman"/>
          <w:bCs/>
          <w:color w:val="000000"/>
          <w:sz w:val="22"/>
        </w:rPr>
        <w:tab/>
      </w:r>
      <w:r w:rsidRPr="00143667">
        <w:rPr>
          <w:rFonts w:cs="Times New Roman"/>
          <w:bCs/>
          <w:color w:val="000000"/>
          <w:sz w:val="22"/>
        </w:rPr>
        <w:t>Jurnal Ilmiah Universitas Diponegoro.</w:t>
      </w:r>
    </w:p>
    <w:p w:rsidR="008C6B84" w:rsidRPr="00143667" w:rsidRDefault="00025C8A" w:rsidP="004A1F76">
      <w:pPr>
        <w:autoSpaceDE w:val="0"/>
        <w:autoSpaceDN w:val="0"/>
        <w:adjustRightInd w:val="0"/>
        <w:spacing w:after="120" w:line="240" w:lineRule="auto"/>
        <w:ind w:left="0" w:right="0" w:firstLine="0"/>
        <w:jc w:val="both"/>
        <w:rPr>
          <w:rFonts w:cs="Times New Roman"/>
          <w:bCs/>
          <w:color w:val="000000"/>
          <w:sz w:val="22"/>
        </w:rPr>
      </w:pPr>
      <w:r w:rsidRPr="00143667">
        <w:rPr>
          <w:rFonts w:cs="Times New Roman"/>
          <w:bCs/>
          <w:color w:val="000000"/>
          <w:sz w:val="22"/>
        </w:rPr>
        <w:t xml:space="preserve">Estiyanti dan Yasa. 2012. </w:t>
      </w:r>
      <w:r w:rsidRPr="00143667">
        <w:rPr>
          <w:rFonts w:cs="Times New Roman"/>
          <w:bCs/>
          <w:i/>
          <w:color w:val="000000"/>
          <w:sz w:val="22"/>
        </w:rPr>
        <w:t>Pengaruh Faktor Keuangan d</w:t>
      </w:r>
      <w:r w:rsidR="00143667" w:rsidRPr="00143667">
        <w:rPr>
          <w:rFonts w:cs="Times New Roman"/>
          <w:bCs/>
          <w:i/>
          <w:color w:val="000000"/>
          <w:sz w:val="22"/>
        </w:rPr>
        <w:t xml:space="preserve">an Non Keuangan pada Peringkat </w:t>
      </w:r>
      <w:r w:rsidRPr="00143667">
        <w:rPr>
          <w:rFonts w:cs="Times New Roman"/>
          <w:bCs/>
          <w:i/>
          <w:color w:val="000000"/>
          <w:sz w:val="22"/>
        </w:rPr>
        <w:t xml:space="preserve">Obligasi di </w:t>
      </w:r>
      <w:r w:rsidR="00143667" w:rsidRPr="00143667">
        <w:rPr>
          <w:rFonts w:cs="Times New Roman"/>
          <w:bCs/>
          <w:i/>
          <w:color w:val="000000"/>
          <w:sz w:val="22"/>
        </w:rPr>
        <w:tab/>
      </w:r>
      <w:r w:rsidRPr="00143667">
        <w:rPr>
          <w:rFonts w:cs="Times New Roman"/>
          <w:bCs/>
          <w:i/>
          <w:color w:val="000000"/>
          <w:sz w:val="22"/>
        </w:rPr>
        <w:t>Bursa Efek Indonesia</w:t>
      </w:r>
      <w:r w:rsidRPr="00143667">
        <w:rPr>
          <w:rFonts w:cs="Times New Roman"/>
          <w:bCs/>
          <w:color w:val="000000"/>
          <w:sz w:val="22"/>
        </w:rPr>
        <w:t xml:space="preserve">. Jurnal Ilmiah Universitas </w:t>
      </w:r>
      <w:r w:rsidRPr="00143667">
        <w:rPr>
          <w:rFonts w:cs="Times New Roman"/>
          <w:bCs/>
          <w:color w:val="000000"/>
          <w:sz w:val="22"/>
        </w:rPr>
        <w:tab/>
        <w:t>Udayana. Bali.</w:t>
      </w:r>
    </w:p>
    <w:p w:rsidR="008C6B84" w:rsidRPr="00143667" w:rsidRDefault="00025C8A" w:rsidP="004A1F76">
      <w:pPr>
        <w:spacing w:after="120" w:line="240" w:lineRule="auto"/>
        <w:ind w:left="720" w:right="0" w:hanging="720"/>
        <w:jc w:val="both"/>
        <w:rPr>
          <w:rFonts w:eastAsia="Calibri" w:cs="Times New Roman"/>
          <w:bCs/>
          <w:sz w:val="22"/>
        </w:rPr>
      </w:pPr>
      <w:r w:rsidRPr="00143667">
        <w:rPr>
          <w:rFonts w:eastAsia="Calibri" w:cs="Times New Roman"/>
          <w:bCs/>
          <w:sz w:val="22"/>
        </w:rPr>
        <w:t>Fahmi, Irham. 2015.</w:t>
      </w:r>
      <w:r w:rsidRPr="00143667">
        <w:rPr>
          <w:rFonts w:eastAsia="Calibri" w:cs="Times New Roman"/>
          <w:bCs/>
          <w:i/>
          <w:sz w:val="22"/>
        </w:rPr>
        <w:t>Pengantar Manajemen Keuangan</w:t>
      </w:r>
      <w:r w:rsidRPr="00143667">
        <w:rPr>
          <w:rFonts w:eastAsia="Calibri" w:cs="Times New Roman"/>
          <w:bCs/>
          <w:sz w:val="22"/>
        </w:rPr>
        <w:t>. Alfabeta. Bandung.</w:t>
      </w:r>
    </w:p>
    <w:p w:rsidR="008C6B84" w:rsidRPr="00143667" w:rsidRDefault="00025C8A" w:rsidP="004A1F76">
      <w:pPr>
        <w:autoSpaceDE w:val="0"/>
        <w:autoSpaceDN w:val="0"/>
        <w:adjustRightInd w:val="0"/>
        <w:spacing w:after="120" w:line="240" w:lineRule="auto"/>
        <w:ind w:left="709" w:right="0" w:hanging="709"/>
        <w:jc w:val="both"/>
        <w:rPr>
          <w:rFonts w:cs="Times New Roman"/>
          <w:bCs/>
          <w:color w:val="000000"/>
          <w:sz w:val="22"/>
        </w:rPr>
      </w:pPr>
      <w:r w:rsidRPr="00143667">
        <w:rPr>
          <w:rFonts w:cs="Times New Roman"/>
          <w:bCs/>
          <w:color w:val="000000"/>
          <w:sz w:val="22"/>
        </w:rPr>
        <w:t xml:space="preserve">Fauziah, Yossy. 2014. </w:t>
      </w:r>
      <w:r w:rsidRPr="00143667">
        <w:rPr>
          <w:rFonts w:cs="Times New Roman"/>
          <w:bCs/>
          <w:i/>
          <w:color w:val="000000"/>
          <w:sz w:val="22"/>
        </w:rPr>
        <w:t xml:space="preserve">Pengaruh Likuiditas, </w:t>
      </w:r>
      <w:r w:rsidRPr="00143667">
        <w:rPr>
          <w:rFonts w:cs="Times New Roman"/>
          <w:bCs/>
          <w:i/>
          <w:iCs/>
          <w:color w:val="000000"/>
          <w:sz w:val="22"/>
        </w:rPr>
        <w:t xml:space="preserve">Leverage </w:t>
      </w:r>
      <w:r w:rsidRPr="00143667">
        <w:rPr>
          <w:rFonts w:cs="Times New Roman"/>
          <w:bCs/>
          <w:i/>
          <w:color w:val="000000"/>
          <w:sz w:val="22"/>
        </w:rPr>
        <w:t>dan U</w:t>
      </w:r>
      <w:r w:rsidR="00143667" w:rsidRPr="00143667">
        <w:rPr>
          <w:rFonts w:cs="Times New Roman"/>
          <w:bCs/>
          <w:i/>
          <w:color w:val="000000"/>
          <w:sz w:val="22"/>
        </w:rPr>
        <w:t xml:space="preserve">mur Obligasi terhadap PrediksI </w:t>
      </w:r>
      <w:r w:rsidRPr="00143667">
        <w:rPr>
          <w:rFonts w:cs="Times New Roman"/>
          <w:bCs/>
          <w:i/>
          <w:color w:val="000000"/>
          <w:sz w:val="22"/>
        </w:rPr>
        <w:t xml:space="preserve">Peringkat Obligasi (Studi Empiris pada Perusahaan </w:t>
      </w:r>
      <w:r w:rsidRPr="00143667">
        <w:rPr>
          <w:rFonts w:cs="Times New Roman"/>
          <w:bCs/>
          <w:i/>
          <w:color w:val="000000"/>
          <w:sz w:val="22"/>
        </w:rPr>
        <w:tab/>
        <w:t>yang Terdaftar di Bursa Efek Indonesia Tahun 2009-2012)</w:t>
      </w:r>
      <w:r w:rsidR="00143667" w:rsidRPr="00143667">
        <w:rPr>
          <w:rFonts w:cs="Times New Roman"/>
          <w:bCs/>
          <w:color w:val="000000"/>
          <w:sz w:val="22"/>
        </w:rPr>
        <w:t xml:space="preserve">. Jurnal Ilmiah </w:t>
      </w:r>
      <w:r w:rsidRPr="00143667">
        <w:rPr>
          <w:rFonts w:cs="Times New Roman"/>
          <w:bCs/>
          <w:color w:val="000000"/>
          <w:sz w:val="22"/>
        </w:rPr>
        <w:t>Universitas Negeri Padang.</w:t>
      </w:r>
    </w:p>
    <w:p w:rsidR="00025C8A" w:rsidRPr="00143667" w:rsidRDefault="00025C8A" w:rsidP="004A1F76">
      <w:pPr>
        <w:autoSpaceDE w:val="0"/>
        <w:autoSpaceDN w:val="0"/>
        <w:adjustRightInd w:val="0"/>
        <w:spacing w:after="120" w:line="240" w:lineRule="auto"/>
        <w:ind w:left="709" w:right="0" w:hanging="709"/>
        <w:jc w:val="both"/>
        <w:rPr>
          <w:rFonts w:cs="Times New Roman"/>
          <w:bCs/>
          <w:color w:val="000000"/>
          <w:sz w:val="22"/>
        </w:rPr>
      </w:pPr>
      <w:r w:rsidRPr="00143667">
        <w:rPr>
          <w:rFonts w:cs="Times New Roman"/>
          <w:bCs/>
          <w:color w:val="000000"/>
          <w:sz w:val="22"/>
        </w:rPr>
        <w:t xml:space="preserve">Keown, Arthur. dkk. 2011. </w:t>
      </w:r>
      <w:r w:rsidRPr="00143667">
        <w:rPr>
          <w:rFonts w:cs="Times New Roman"/>
          <w:bCs/>
          <w:i/>
          <w:color w:val="000000"/>
          <w:sz w:val="22"/>
        </w:rPr>
        <w:t>Manajemen Keuangan:Prinsip dan Penerapan</w:t>
      </w:r>
      <w:r w:rsidRPr="00143667">
        <w:rPr>
          <w:rFonts w:cs="Times New Roman"/>
          <w:bCs/>
          <w:color w:val="000000"/>
          <w:sz w:val="22"/>
        </w:rPr>
        <w:t xml:space="preserve">. PT </w:t>
      </w:r>
      <w:r w:rsidRPr="00143667">
        <w:rPr>
          <w:rFonts w:cs="Times New Roman"/>
          <w:bCs/>
          <w:color w:val="000000"/>
          <w:sz w:val="22"/>
        </w:rPr>
        <w:tab/>
        <w:t>Indeks. Jakarta.</w:t>
      </w:r>
    </w:p>
    <w:p w:rsidR="008C6B84" w:rsidRPr="008C6B84" w:rsidRDefault="00025C8A" w:rsidP="004A1F76">
      <w:pPr>
        <w:autoSpaceDE w:val="0"/>
        <w:autoSpaceDN w:val="0"/>
        <w:adjustRightInd w:val="0"/>
        <w:spacing w:after="120" w:line="240" w:lineRule="auto"/>
        <w:ind w:left="0" w:right="0" w:firstLine="0"/>
        <w:jc w:val="both"/>
        <w:rPr>
          <w:rFonts w:cs="Times New Roman"/>
          <w:bCs/>
          <w:color w:val="000000"/>
          <w:sz w:val="22"/>
        </w:rPr>
      </w:pPr>
      <w:r w:rsidRPr="00143667">
        <w:rPr>
          <w:rFonts w:cs="Times New Roman"/>
          <w:color w:val="000000"/>
          <w:sz w:val="22"/>
        </w:rPr>
        <w:t xml:space="preserve">Lukman dan Tahmida. 2013. </w:t>
      </w:r>
      <w:r w:rsidRPr="00143667">
        <w:rPr>
          <w:rFonts w:cs="Times New Roman"/>
          <w:bCs/>
          <w:i/>
          <w:color w:val="000000"/>
          <w:sz w:val="22"/>
        </w:rPr>
        <w:t>Analisis F</w:t>
      </w:r>
      <w:r w:rsidR="00143667" w:rsidRPr="00143667">
        <w:rPr>
          <w:rFonts w:cs="Times New Roman"/>
          <w:bCs/>
          <w:i/>
          <w:color w:val="000000"/>
          <w:sz w:val="22"/>
        </w:rPr>
        <w:t xml:space="preserve">aktor-faktor yang Mempengaruhi </w:t>
      </w:r>
      <w:r w:rsidRPr="00143667">
        <w:rPr>
          <w:rFonts w:cs="Times New Roman"/>
          <w:bCs/>
          <w:i/>
          <w:color w:val="000000"/>
          <w:sz w:val="22"/>
        </w:rPr>
        <w:t xml:space="preserve">Peringkat Obligasi pada </w:t>
      </w:r>
      <w:r w:rsidR="00143667" w:rsidRPr="00143667">
        <w:rPr>
          <w:rFonts w:cs="Times New Roman"/>
          <w:bCs/>
          <w:i/>
          <w:color w:val="000000"/>
          <w:sz w:val="22"/>
        </w:rPr>
        <w:tab/>
      </w:r>
      <w:r w:rsidRPr="00143667">
        <w:rPr>
          <w:rFonts w:cs="Times New Roman"/>
          <w:bCs/>
          <w:i/>
          <w:color w:val="000000"/>
          <w:sz w:val="22"/>
        </w:rPr>
        <w:t>Industri Perbankan yang Terdaf</w:t>
      </w:r>
      <w:r w:rsidR="00143667" w:rsidRPr="00143667">
        <w:rPr>
          <w:rFonts w:cs="Times New Roman"/>
          <w:bCs/>
          <w:i/>
          <w:color w:val="000000"/>
          <w:sz w:val="22"/>
        </w:rPr>
        <w:t xml:space="preserve">tar di Bursa Efek </w:t>
      </w:r>
      <w:r w:rsidRPr="00143667">
        <w:rPr>
          <w:rFonts w:cs="Times New Roman"/>
          <w:bCs/>
          <w:i/>
          <w:color w:val="000000"/>
          <w:sz w:val="22"/>
        </w:rPr>
        <w:t>Indonesia Periode 2008-2012</w:t>
      </w:r>
      <w:r w:rsidR="00143667" w:rsidRPr="00143667">
        <w:rPr>
          <w:rFonts w:cs="Times New Roman"/>
          <w:bCs/>
          <w:color w:val="000000"/>
          <w:sz w:val="22"/>
        </w:rPr>
        <w:t xml:space="preserve">. </w:t>
      </w:r>
      <w:r w:rsidRPr="00143667">
        <w:rPr>
          <w:rFonts w:cs="Times New Roman"/>
          <w:bCs/>
          <w:color w:val="000000"/>
          <w:sz w:val="22"/>
        </w:rPr>
        <w:t xml:space="preserve">Jurnal  </w:t>
      </w:r>
      <w:r w:rsidR="00143667" w:rsidRPr="00143667">
        <w:rPr>
          <w:rFonts w:cs="Times New Roman"/>
          <w:bCs/>
          <w:color w:val="000000"/>
          <w:sz w:val="22"/>
        </w:rPr>
        <w:tab/>
      </w:r>
      <w:r w:rsidRPr="00143667">
        <w:rPr>
          <w:rFonts w:cs="Times New Roman"/>
          <w:bCs/>
          <w:color w:val="000000"/>
          <w:sz w:val="22"/>
        </w:rPr>
        <w:t>Il</w:t>
      </w:r>
      <w:r w:rsidR="00143667" w:rsidRPr="00143667">
        <w:rPr>
          <w:rFonts w:cs="Times New Roman"/>
          <w:bCs/>
          <w:color w:val="000000"/>
          <w:sz w:val="22"/>
        </w:rPr>
        <w:t xml:space="preserve">miah Universitas Tarumanagara. </w:t>
      </w:r>
      <w:r w:rsidRPr="00143667">
        <w:rPr>
          <w:rFonts w:cs="Times New Roman"/>
          <w:bCs/>
          <w:color w:val="000000"/>
          <w:sz w:val="22"/>
        </w:rPr>
        <w:t>Jakarta.</w:t>
      </w:r>
    </w:p>
    <w:p w:rsidR="008C6B84" w:rsidRPr="008C6B84" w:rsidRDefault="00025C8A" w:rsidP="004A1F76">
      <w:pPr>
        <w:spacing w:after="120" w:line="240" w:lineRule="auto"/>
        <w:ind w:left="0" w:right="-45" w:hanging="5"/>
        <w:jc w:val="both"/>
        <w:rPr>
          <w:bCs/>
          <w:sz w:val="22"/>
        </w:rPr>
      </w:pPr>
      <w:r w:rsidRPr="00143667">
        <w:rPr>
          <w:rFonts w:cs="Times New Roman"/>
          <w:sz w:val="22"/>
        </w:rPr>
        <w:t xml:space="preserve">Maharti, Enny Dwi. 2011. </w:t>
      </w:r>
      <w:r w:rsidRPr="00143667">
        <w:rPr>
          <w:rFonts w:cs="Times New Roman"/>
          <w:bCs/>
          <w:i/>
          <w:color w:val="000000"/>
          <w:sz w:val="22"/>
        </w:rPr>
        <w:t xml:space="preserve">Analisis Faktor-faktor yang Mempengaruhi </w:t>
      </w:r>
      <w:r w:rsidRPr="00143667">
        <w:rPr>
          <w:bCs/>
          <w:i/>
          <w:sz w:val="22"/>
        </w:rPr>
        <w:t xml:space="preserve">Peringkat </w:t>
      </w:r>
      <w:r w:rsidRPr="00143667">
        <w:rPr>
          <w:bCs/>
          <w:i/>
          <w:sz w:val="22"/>
        </w:rPr>
        <w:tab/>
        <w:t>Obligasi</w:t>
      </w:r>
      <w:r w:rsidRPr="00143667">
        <w:rPr>
          <w:bCs/>
          <w:sz w:val="22"/>
        </w:rPr>
        <w:t xml:space="preserve">. </w:t>
      </w:r>
      <w:r w:rsidR="0051229B" w:rsidRPr="00143667">
        <w:rPr>
          <w:bCs/>
          <w:sz w:val="22"/>
        </w:rPr>
        <w:tab/>
      </w:r>
      <w:r w:rsidRPr="00143667">
        <w:rPr>
          <w:bCs/>
          <w:sz w:val="22"/>
        </w:rPr>
        <w:t>Jurnal Ilmiah Universitas Diponegoro.</w:t>
      </w:r>
    </w:p>
    <w:p w:rsidR="008C6B84" w:rsidRPr="008C6B84" w:rsidRDefault="00025C8A" w:rsidP="004A1F76">
      <w:pPr>
        <w:autoSpaceDE w:val="0"/>
        <w:autoSpaceDN w:val="0"/>
        <w:adjustRightInd w:val="0"/>
        <w:spacing w:after="120" w:line="240" w:lineRule="auto"/>
        <w:ind w:left="0" w:right="0" w:firstLine="0"/>
        <w:jc w:val="both"/>
        <w:rPr>
          <w:rFonts w:cs="Times New Roman"/>
          <w:color w:val="000000"/>
          <w:sz w:val="22"/>
        </w:rPr>
      </w:pPr>
      <w:r w:rsidRPr="00143667">
        <w:rPr>
          <w:rFonts w:cs="Times New Roman"/>
          <w:color w:val="000000"/>
          <w:sz w:val="22"/>
        </w:rPr>
        <w:t xml:space="preserve">Rahyuda, Henny dan Sucipta, Nila. </w:t>
      </w:r>
      <w:r w:rsidRPr="00143667">
        <w:rPr>
          <w:rFonts w:cs="Times New Roman"/>
          <w:i/>
          <w:color w:val="000000"/>
          <w:sz w:val="22"/>
        </w:rPr>
        <w:t>Pe</w:t>
      </w:r>
      <w:r w:rsidR="00143667" w:rsidRPr="00143667">
        <w:rPr>
          <w:rFonts w:cs="Times New Roman"/>
          <w:i/>
          <w:color w:val="000000"/>
          <w:sz w:val="22"/>
        </w:rPr>
        <w:t xml:space="preserve">ngaruh Pertumbuhan Perusahaan, Likuiditas, </w:t>
      </w:r>
      <w:r w:rsidRPr="00143667">
        <w:rPr>
          <w:rFonts w:cs="Times New Roman"/>
          <w:i/>
          <w:color w:val="000000"/>
          <w:sz w:val="22"/>
        </w:rPr>
        <w:t xml:space="preserve">dan Maturity </w:t>
      </w:r>
      <w:r w:rsidR="00143667" w:rsidRPr="00143667">
        <w:rPr>
          <w:rFonts w:cs="Times New Roman"/>
          <w:i/>
          <w:color w:val="000000"/>
          <w:sz w:val="22"/>
        </w:rPr>
        <w:tab/>
      </w:r>
      <w:r w:rsidRPr="00143667">
        <w:rPr>
          <w:rFonts w:cs="Times New Roman"/>
          <w:i/>
          <w:color w:val="000000"/>
          <w:sz w:val="22"/>
        </w:rPr>
        <w:t>terhadap Pe</w:t>
      </w:r>
      <w:r w:rsidR="00143667" w:rsidRPr="00143667">
        <w:rPr>
          <w:rFonts w:cs="Times New Roman"/>
          <w:i/>
          <w:color w:val="000000"/>
          <w:sz w:val="22"/>
        </w:rPr>
        <w:t xml:space="preserve">ringkat Obligasi Perusahaan di </w:t>
      </w:r>
      <w:r w:rsidRPr="00143667">
        <w:rPr>
          <w:rFonts w:cs="Times New Roman"/>
          <w:i/>
          <w:color w:val="000000"/>
          <w:sz w:val="22"/>
        </w:rPr>
        <w:t>Bursa Efek Indonesia</w:t>
      </w:r>
      <w:r w:rsidRPr="00143667">
        <w:rPr>
          <w:rFonts w:cs="Times New Roman"/>
          <w:color w:val="000000"/>
          <w:sz w:val="22"/>
        </w:rPr>
        <w:t xml:space="preserve">. Jurnal Ilmiah Universitas </w:t>
      </w:r>
      <w:r w:rsidR="00143667" w:rsidRPr="00143667">
        <w:rPr>
          <w:rFonts w:cs="Times New Roman"/>
          <w:color w:val="000000"/>
          <w:sz w:val="22"/>
        </w:rPr>
        <w:tab/>
      </w:r>
      <w:r w:rsidRPr="00143667">
        <w:rPr>
          <w:rFonts w:cs="Times New Roman"/>
          <w:color w:val="000000"/>
          <w:sz w:val="22"/>
        </w:rPr>
        <w:t>Udayana. Bali.</w:t>
      </w:r>
    </w:p>
    <w:p w:rsidR="008C6B84" w:rsidRPr="008C6B84" w:rsidRDefault="00025C8A" w:rsidP="004A1F76">
      <w:pPr>
        <w:autoSpaceDE w:val="0"/>
        <w:autoSpaceDN w:val="0"/>
        <w:adjustRightInd w:val="0"/>
        <w:spacing w:after="120" w:line="240" w:lineRule="auto"/>
        <w:ind w:left="0" w:right="-45" w:hanging="5"/>
        <w:jc w:val="both"/>
        <w:rPr>
          <w:bCs/>
          <w:sz w:val="22"/>
        </w:rPr>
      </w:pPr>
      <w:r w:rsidRPr="00143667">
        <w:rPr>
          <w:rFonts w:cs="Times New Roman"/>
          <w:sz w:val="22"/>
        </w:rPr>
        <w:t xml:space="preserve">Sejati, Grace Putri. 2010. </w:t>
      </w:r>
      <w:r w:rsidRPr="00143667">
        <w:rPr>
          <w:rFonts w:cs="Times New Roman"/>
          <w:bCs/>
          <w:i/>
          <w:sz w:val="22"/>
        </w:rPr>
        <w:t>Analisis Faktor Aku</w:t>
      </w:r>
      <w:r w:rsidR="00143667" w:rsidRPr="00143667">
        <w:rPr>
          <w:rFonts w:cs="Times New Roman"/>
          <w:bCs/>
          <w:i/>
          <w:sz w:val="22"/>
        </w:rPr>
        <w:t xml:space="preserve">ntansi dan Non Akuntansi dalam </w:t>
      </w:r>
      <w:r w:rsidR="00143667" w:rsidRPr="00143667">
        <w:rPr>
          <w:bCs/>
          <w:i/>
          <w:sz w:val="22"/>
        </w:rPr>
        <w:t xml:space="preserve">Memprediksi </w:t>
      </w:r>
      <w:r w:rsidRPr="00143667">
        <w:rPr>
          <w:bCs/>
          <w:i/>
          <w:sz w:val="22"/>
        </w:rPr>
        <w:t xml:space="preserve">Peringkat </w:t>
      </w:r>
      <w:r w:rsidR="00143667" w:rsidRPr="00143667">
        <w:rPr>
          <w:bCs/>
          <w:i/>
          <w:sz w:val="22"/>
        </w:rPr>
        <w:tab/>
      </w:r>
      <w:r w:rsidRPr="00143667">
        <w:rPr>
          <w:bCs/>
          <w:i/>
          <w:sz w:val="22"/>
        </w:rPr>
        <w:t>Obligasi Perusahaan Manufaktur</w:t>
      </w:r>
      <w:r w:rsidR="00143667" w:rsidRPr="00143667">
        <w:rPr>
          <w:bCs/>
          <w:sz w:val="22"/>
        </w:rPr>
        <w:t xml:space="preserve">. Jurnal Ilmiah </w:t>
      </w:r>
      <w:r w:rsidRPr="00143667">
        <w:rPr>
          <w:bCs/>
          <w:sz w:val="22"/>
        </w:rPr>
        <w:t>Bisnis dan Birokrasi.</w:t>
      </w:r>
    </w:p>
    <w:p w:rsidR="008C6B84" w:rsidRPr="008C6B84" w:rsidRDefault="00C125E5" w:rsidP="004A1F76">
      <w:pPr>
        <w:spacing w:after="120" w:line="240" w:lineRule="auto"/>
        <w:ind w:left="0" w:right="-45" w:hanging="5"/>
        <w:jc w:val="both"/>
        <w:rPr>
          <w:rFonts w:cs="Times New Roman"/>
          <w:sz w:val="22"/>
        </w:rPr>
      </w:pPr>
      <w:hyperlink r:id="rId14" w:history="1">
        <w:r w:rsidR="00025C8A" w:rsidRPr="00143667">
          <w:rPr>
            <w:rFonts w:cs="Times New Roman"/>
            <w:color w:val="0000FF" w:themeColor="hyperlink"/>
            <w:sz w:val="22"/>
            <w:u w:val="single"/>
          </w:rPr>
          <w:t>www.pefindo.com</w:t>
        </w:r>
      </w:hyperlink>
      <w:r w:rsidR="00025C8A" w:rsidRPr="00143667">
        <w:rPr>
          <w:rFonts w:cs="Times New Roman"/>
          <w:sz w:val="22"/>
        </w:rPr>
        <w:t xml:space="preserve"> </w:t>
      </w:r>
    </w:p>
    <w:p w:rsidR="008C6B84" w:rsidRDefault="00C125E5" w:rsidP="004A1F76">
      <w:pPr>
        <w:spacing w:after="120" w:line="240" w:lineRule="auto"/>
        <w:ind w:left="0" w:right="-45" w:hanging="5"/>
        <w:jc w:val="both"/>
        <w:rPr>
          <w:rFonts w:cs="Times New Roman"/>
          <w:sz w:val="22"/>
        </w:rPr>
      </w:pPr>
      <w:hyperlink r:id="rId15" w:history="1">
        <w:r w:rsidR="00025C8A" w:rsidRPr="00143667">
          <w:rPr>
            <w:rFonts w:cs="Times New Roman"/>
            <w:color w:val="0000FF" w:themeColor="hyperlink"/>
            <w:sz w:val="22"/>
            <w:u w:val="single"/>
          </w:rPr>
          <w:t>www.idx.co.id</w:t>
        </w:r>
      </w:hyperlink>
      <w:r w:rsidR="00025C8A" w:rsidRPr="00143667">
        <w:rPr>
          <w:rFonts w:cs="Times New Roman"/>
          <w:sz w:val="22"/>
        </w:rPr>
        <w:t xml:space="preserve"> </w:t>
      </w:r>
    </w:p>
    <w:p w:rsidR="008C6B84" w:rsidRPr="008C6B84" w:rsidRDefault="00025C8A" w:rsidP="004A1F76">
      <w:pPr>
        <w:autoSpaceDE w:val="0"/>
        <w:autoSpaceDN w:val="0"/>
        <w:adjustRightInd w:val="0"/>
        <w:spacing w:after="120" w:line="240" w:lineRule="auto"/>
        <w:ind w:left="0" w:right="-45" w:hanging="5"/>
        <w:jc w:val="both"/>
        <w:rPr>
          <w:bCs/>
          <w:sz w:val="22"/>
        </w:rPr>
      </w:pPr>
      <w:r w:rsidRPr="00143667">
        <w:rPr>
          <w:rFonts w:cs="Times New Roman"/>
          <w:sz w:val="22"/>
        </w:rPr>
        <w:t xml:space="preserve">Yulianingsih, Gema.2011. </w:t>
      </w:r>
      <w:r w:rsidRPr="00143667">
        <w:rPr>
          <w:rFonts w:cs="Times New Roman"/>
          <w:bCs/>
          <w:i/>
          <w:sz w:val="22"/>
        </w:rPr>
        <w:t>Analisis Faktor-faktor yang M</w:t>
      </w:r>
      <w:r w:rsidR="00143667" w:rsidRPr="00143667">
        <w:rPr>
          <w:rFonts w:cs="Times New Roman"/>
          <w:bCs/>
          <w:i/>
          <w:sz w:val="22"/>
        </w:rPr>
        <w:t xml:space="preserve">empengaruhi Prediksi Peringkat </w:t>
      </w:r>
      <w:r w:rsidRPr="00143667">
        <w:rPr>
          <w:rFonts w:cs="Times New Roman"/>
          <w:bCs/>
          <w:i/>
          <w:sz w:val="22"/>
        </w:rPr>
        <w:t xml:space="preserve">Obligasi </w:t>
      </w:r>
      <w:r w:rsidR="00143667" w:rsidRPr="00143667">
        <w:rPr>
          <w:rFonts w:cs="Times New Roman"/>
          <w:bCs/>
          <w:i/>
          <w:sz w:val="22"/>
        </w:rPr>
        <w:tab/>
      </w:r>
      <w:r w:rsidRPr="00143667">
        <w:rPr>
          <w:bCs/>
          <w:i/>
          <w:sz w:val="22"/>
        </w:rPr>
        <w:t>pada Perusahaan yang Listing di BEI</w:t>
      </w:r>
      <w:r w:rsidRPr="00143667">
        <w:rPr>
          <w:bCs/>
          <w:sz w:val="22"/>
        </w:rPr>
        <w:t>. Jurnal Ilmiah.</w:t>
      </w:r>
    </w:p>
    <w:p w:rsidR="00025C8A" w:rsidRPr="00143667" w:rsidRDefault="00025C8A" w:rsidP="004A1F76">
      <w:pPr>
        <w:spacing w:after="120" w:line="240" w:lineRule="auto"/>
        <w:ind w:left="0" w:right="-45" w:hanging="5"/>
        <w:jc w:val="both"/>
        <w:rPr>
          <w:rFonts w:cs="Times New Roman"/>
          <w:sz w:val="22"/>
        </w:rPr>
      </w:pPr>
      <w:r w:rsidRPr="00143667">
        <w:rPr>
          <w:rFonts w:cs="Times New Roman"/>
          <w:sz w:val="22"/>
        </w:rPr>
        <w:t xml:space="preserve">Zubir, Zulmi. 2012. </w:t>
      </w:r>
      <w:r w:rsidRPr="00143667">
        <w:rPr>
          <w:rFonts w:cs="Times New Roman"/>
          <w:i/>
          <w:sz w:val="22"/>
        </w:rPr>
        <w:t>Portofolio Obligasi</w:t>
      </w:r>
      <w:r w:rsidRPr="00143667">
        <w:rPr>
          <w:rFonts w:cs="Times New Roman"/>
          <w:sz w:val="22"/>
        </w:rPr>
        <w:t>. Salemba Empat. Jakarta.</w:t>
      </w:r>
    </w:p>
    <w:sectPr w:rsidR="00025C8A" w:rsidRPr="00143667" w:rsidSect="00F16D24">
      <w:headerReference w:type="even" r:id="rId16"/>
      <w:headerReference w:type="default" r:id="rId17"/>
      <w:footerReference w:type="even" r:id="rId18"/>
      <w:footerReference w:type="default" r:id="rId19"/>
      <w:headerReference w:type="first" r:id="rId20"/>
      <w:footerReference w:type="first" r:id="rId21"/>
      <w:pgSz w:w="11906" w:h="16838"/>
      <w:pgMar w:top="1588" w:right="1418" w:bottom="1418" w:left="1418"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E5" w:rsidRDefault="00C125E5" w:rsidP="00055CC3">
      <w:pPr>
        <w:spacing w:line="240" w:lineRule="auto"/>
      </w:pPr>
      <w:r>
        <w:separator/>
      </w:r>
    </w:p>
  </w:endnote>
  <w:endnote w:type="continuationSeparator" w:id="0">
    <w:p w:rsidR="00C125E5" w:rsidRDefault="00C125E5" w:rsidP="00055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99751"/>
      <w:docPartObj>
        <w:docPartGallery w:val="Page Numbers (Bottom of Page)"/>
        <w:docPartUnique/>
      </w:docPartObj>
    </w:sdtPr>
    <w:sdtEndPr/>
    <w:sdtContent>
      <w:p w:rsidR="008C6B84" w:rsidRDefault="00C125E5" w:rsidP="008C6B84">
        <w:pPr>
          <w:pStyle w:val="Footer"/>
          <w:ind w:left="0"/>
        </w:pPr>
        <w:r>
          <w:fldChar w:fldCharType="begin"/>
        </w:r>
        <w:r>
          <w:instrText xml:space="preserve"> PAGE   \* MERGEFORMAT </w:instrText>
        </w:r>
        <w:r>
          <w:fldChar w:fldCharType="separate"/>
        </w:r>
        <w:r w:rsidR="00F84152">
          <w:rPr>
            <w:noProof/>
          </w:rPr>
          <w:t>2</w:t>
        </w:r>
        <w:r>
          <w:rPr>
            <w:noProof/>
          </w:rPr>
          <w:fldChar w:fldCharType="end"/>
        </w:r>
      </w:p>
    </w:sdtContent>
  </w:sdt>
  <w:p w:rsidR="00C20301" w:rsidRDefault="00C20301" w:rsidP="00C20301">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F2" w:rsidRDefault="00C20301" w:rsidP="00C20301">
    <w:pPr>
      <w:pStyle w:val="Footer"/>
      <w:ind w:left="0"/>
    </w:pPr>
    <w: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01" w:rsidRDefault="00C20301" w:rsidP="00C20301">
    <w:pPr>
      <w:pStyle w:val="Footer"/>
      <w:ind w:left="0"/>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E5" w:rsidRDefault="00C125E5" w:rsidP="00055CC3">
      <w:pPr>
        <w:spacing w:line="240" w:lineRule="auto"/>
      </w:pPr>
      <w:r>
        <w:separator/>
      </w:r>
    </w:p>
  </w:footnote>
  <w:footnote w:type="continuationSeparator" w:id="0">
    <w:p w:rsidR="00C125E5" w:rsidRDefault="00C125E5" w:rsidP="00055C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99" w:rsidRPr="00C20301" w:rsidRDefault="00147399" w:rsidP="00147399">
    <w:pPr>
      <w:pStyle w:val="Header"/>
      <w:ind w:left="0" w:firstLine="1"/>
      <w:rPr>
        <w:i/>
        <w:sz w:val="22"/>
      </w:rPr>
    </w:pPr>
    <w:r w:rsidRPr="00C20301">
      <w:rPr>
        <w:i/>
        <w:sz w:val="22"/>
      </w:rPr>
      <w:t>Seminar Nasional GCA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F2" w:rsidRPr="00C20301" w:rsidRDefault="00C20301" w:rsidP="00C20301">
    <w:pPr>
      <w:pStyle w:val="Header"/>
      <w:ind w:left="0" w:firstLine="0"/>
      <w:rPr>
        <w:i/>
        <w:sz w:val="22"/>
      </w:rPr>
    </w:pPr>
    <w:r w:rsidRPr="00C20301">
      <w:rPr>
        <w:i/>
        <w:sz w:val="22"/>
      </w:rPr>
      <w:t>Seminar Nasional GCA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F2" w:rsidRPr="00F16D24" w:rsidRDefault="00C201F2" w:rsidP="00F16D24">
    <w:pPr>
      <w:pStyle w:val="Header"/>
      <w:ind w:left="0"/>
      <w:jc w:val="right"/>
      <w:rPr>
        <w:i/>
        <w:sz w:val="22"/>
      </w:rPr>
    </w:pPr>
    <w:r>
      <w:rPr>
        <w:i/>
        <w:sz w:val="22"/>
      </w:rPr>
      <w:t>Seminar Nasional GCA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E7C"/>
    <w:multiLevelType w:val="hybridMultilevel"/>
    <w:tmpl w:val="1876B3EC"/>
    <w:lvl w:ilvl="0" w:tplc="FE6AF03E">
      <w:start w:val="1"/>
      <w:numFmt w:val="lowerLetter"/>
      <w:lvlText w:val="%1."/>
      <w:lvlJc w:val="left"/>
      <w:pPr>
        <w:ind w:left="2268" w:hanging="360"/>
      </w:pPr>
      <w:rPr>
        <w:b w:val="0"/>
      </w:rPr>
    </w:lvl>
    <w:lvl w:ilvl="1" w:tplc="04210019" w:tentative="1">
      <w:start w:val="1"/>
      <w:numFmt w:val="lowerLetter"/>
      <w:lvlText w:val="%2."/>
      <w:lvlJc w:val="left"/>
      <w:pPr>
        <w:ind w:left="2988" w:hanging="360"/>
      </w:pPr>
    </w:lvl>
    <w:lvl w:ilvl="2" w:tplc="0421001B" w:tentative="1">
      <w:start w:val="1"/>
      <w:numFmt w:val="lowerRoman"/>
      <w:lvlText w:val="%3."/>
      <w:lvlJc w:val="right"/>
      <w:pPr>
        <w:ind w:left="3708" w:hanging="180"/>
      </w:pPr>
    </w:lvl>
    <w:lvl w:ilvl="3" w:tplc="0421000F" w:tentative="1">
      <w:start w:val="1"/>
      <w:numFmt w:val="decimal"/>
      <w:lvlText w:val="%4."/>
      <w:lvlJc w:val="left"/>
      <w:pPr>
        <w:ind w:left="4428" w:hanging="360"/>
      </w:pPr>
    </w:lvl>
    <w:lvl w:ilvl="4" w:tplc="04210019" w:tentative="1">
      <w:start w:val="1"/>
      <w:numFmt w:val="lowerLetter"/>
      <w:lvlText w:val="%5."/>
      <w:lvlJc w:val="left"/>
      <w:pPr>
        <w:ind w:left="5148" w:hanging="360"/>
      </w:pPr>
    </w:lvl>
    <w:lvl w:ilvl="5" w:tplc="0421001B" w:tentative="1">
      <w:start w:val="1"/>
      <w:numFmt w:val="lowerRoman"/>
      <w:lvlText w:val="%6."/>
      <w:lvlJc w:val="right"/>
      <w:pPr>
        <w:ind w:left="5868" w:hanging="180"/>
      </w:pPr>
    </w:lvl>
    <w:lvl w:ilvl="6" w:tplc="0421000F" w:tentative="1">
      <w:start w:val="1"/>
      <w:numFmt w:val="decimal"/>
      <w:lvlText w:val="%7."/>
      <w:lvlJc w:val="left"/>
      <w:pPr>
        <w:ind w:left="6588" w:hanging="360"/>
      </w:pPr>
    </w:lvl>
    <w:lvl w:ilvl="7" w:tplc="04210019" w:tentative="1">
      <w:start w:val="1"/>
      <w:numFmt w:val="lowerLetter"/>
      <w:lvlText w:val="%8."/>
      <w:lvlJc w:val="left"/>
      <w:pPr>
        <w:ind w:left="7308" w:hanging="360"/>
      </w:pPr>
    </w:lvl>
    <w:lvl w:ilvl="8" w:tplc="0421001B" w:tentative="1">
      <w:start w:val="1"/>
      <w:numFmt w:val="lowerRoman"/>
      <w:lvlText w:val="%9."/>
      <w:lvlJc w:val="right"/>
      <w:pPr>
        <w:ind w:left="8028" w:hanging="180"/>
      </w:pPr>
    </w:lvl>
  </w:abstractNum>
  <w:abstractNum w:abstractNumId="1">
    <w:nsid w:val="07004C83"/>
    <w:multiLevelType w:val="hybridMultilevel"/>
    <w:tmpl w:val="3000E29C"/>
    <w:lvl w:ilvl="0" w:tplc="0B1690CC">
      <w:start w:val="1"/>
      <w:numFmt w:val="decimal"/>
      <w:lvlText w:val="%1."/>
      <w:lvlJc w:val="left"/>
      <w:pPr>
        <w:ind w:left="720" w:hanging="360"/>
      </w:pPr>
      <w:rPr>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6A6A38"/>
    <w:multiLevelType w:val="hybridMultilevel"/>
    <w:tmpl w:val="6D606364"/>
    <w:lvl w:ilvl="0" w:tplc="34980F7C">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1D3F0C"/>
    <w:multiLevelType w:val="hybridMultilevel"/>
    <w:tmpl w:val="BEDEFB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7026E3"/>
    <w:multiLevelType w:val="hybridMultilevel"/>
    <w:tmpl w:val="84D685DA"/>
    <w:lvl w:ilvl="0" w:tplc="0421000F">
      <w:start w:val="1"/>
      <w:numFmt w:val="decimal"/>
      <w:lvlText w:val="%1."/>
      <w:lvlJc w:val="left"/>
      <w:pPr>
        <w:ind w:left="709" w:hanging="360"/>
      </w:p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5">
    <w:nsid w:val="221836DB"/>
    <w:multiLevelType w:val="hybridMultilevel"/>
    <w:tmpl w:val="3CFE2B42"/>
    <w:lvl w:ilvl="0" w:tplc="4F7A946A">
      <w:start w:val="6"/>
      <w:numFmt w:val="decimal"/>
      <w:lvlText w:val="%1."/>
      <w:lvlJc w:val="left"/>
      <w:pPr>
        <w:ind w:left="720" w:hanging="360"/>
      </w:pPr>
      <w:rPr>
        <w:rFonts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6B35E8"/>
    <w:multiLevelType w:val="hybridMultilevel"/>
    <w:tmpl w:val="EF0657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8F7C1F"/>
    <w:multiLevelType w:val="hybridMultilevel"/>
    <w:tmpl w:val="1F9031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4F7265"/>
    <w:multiLevelType w:val="hybridMultilevel"/>
    <w:tmpl w:val="94F85BAE"/>
    <w:lvl w:ilvl="0" w:tplc="6BBC8C00">
      <w:start w:val="3"/>
      <w:numFmt w:val="decimal"/>
      <w:lvlText w:val="%1."/>
      <w:lvlJc w:val="left"/>
      <w:pPr>
        <w:ind w:left="709"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E4427A"/>
    <w:multiLevelType w:val="hybridMultilevel"/>
    <w:tmpl w:val="2C9CAD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B74955"/>
    <w:multiLevelType w:val="hybridMultilevel"/>
    <w:tmpl w:val="0450BD12"/>
    <w:lvl w:ilvl="0" w:tplc="D536071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F4321A"/>
    <w:multiLevelType w:val="hybridMultilevel"/>
    <w:tmpl w:val="82266D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C921933"/>
    <w:multiLevelType w:val="hybridMultilevel"/>
    <w:tmpl w:val="53AC767C"/>
    <w:lvl w:ilvl="0" w:tplc="72ACA6A6">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C32018"/>
    <w:multiLevelType w:val="hybridMultilevel"/>
    <w:tmpl w:val="3E50D922"/>
    <w:lvl w:ilvl="0" w:tplc="9DAE9C60">
      <w:start w:val="1"/>
      <w:numFmt w:val="decimal"/>
      <w:lvlText w:val="%1."/>
      <w:lvlJc w:val="left"/>
      <w:pPr>
        <w:ind w:left="720" w:hanging="360"/>
      </w:pPr>
      <w:rPr>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681EB2"/>
    <w:multiLevelType w:val="hybridMultilevel"/>
    <w:tmpl w:val="6F880F12"/>
    <w:lvl w:ilvl="0" w:tplc="04210001">
      <w:start w:val="1"/>
      <w:numFmt w:val="bullet"/>
      <w:lvlText w:val=""/>
      <w:lvlJc w:val="left"/>
      <w:pPr>
        <w:ind w:left="36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5">
    <w:nsid w:val="73D03518"/>
    <w:multiLevelType w:val="hybridMultilevel"/>
    <w:tmpl w:val="10CA54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9"/>
  </w:num>
  <w:num w:numId="5">
    <w:abstractNumId w:val="4"/>
  </w:num>
  <w:num w:numId="6">
    <w:abstractNumId w:val="10"/>
  </w:num>
  <w:num w:numId="7">
    <w:abstractNumId w:val="0"/>
  </w:num>
  <w:num w:numId="8">
    <w:abstractNumId w:val="3"/>
  </w:num>
  <w:num w:numId="9">
    <w:abstractNumId w:val="6"/>
  </w:num>
  <w:num w:numId="10">
    <w:abstractNumId w:val="15"/>
  </w:num>
  <w:num w:numId="11">
    <w:abstractNumId w:val="7"/>
  </w:num>
  <w:num w:numId="12">
    <w:abstractNumId w:val="1"/>
  </w:num>
  <w:num w:numId="13">
    <w:abstractNumId w:val="2"/>
  </w:num>
  <w:num w:numId="14">
    <w:abstractNumId w:val="13"/>
  </w:num>
  <w:num w:numId="15">
    <w:abstractNumId w:val="1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CC"/>
    <w:rsid w:val="00025C8A"/>
    <w:rsid w:val="00040762"/>
    <w:rsid w:val="00045278"/>
    <w:rsid w:val="000509AB"/>
    <w:rsid w:val="000511E2"/>
    <w:rsid w:val="0005522F"/>
    <w:rsid w:val="00055CC3"/>
    <w:rsid w:val="00057CB4"/>
    <w:rsid w:val="00065B3B"/>
    <w:rsid w:val="00085EFB"/>
    <w:rsid w:val="000B6CCC"/>
    <w:rsid w:val="000E35EE"/>
    <w:rsid w:val="00117BB5"/>
    <w:rsid w:val="00125F77"/>
    <w:rsid w:val="001324FF"/>
    <w:rsid w:val="00143667"/>
    <w:rsid w:val="00147399"/>
    <w:rsid w:val="00153870"/>
    <w:rsid w:val="00166DB2"/>
    <w:rsid w:val="00192A05"/>
    <w:rsid w:val="001E469A"/>
    <w:rsid w:val="001E566D"/>
    <w:rsid w:val="002B1F3A"/>
    <w:rsid w:val="002D6787"/>
    <w:rsid w:val="002E49F2"/>
    <w:rsid w:val="003249DD"/>
    <w:rsid w:val="00334DD1"/>
    <w:rsid w:val="00347313"/>
    <w:rsid w:val="003A0589"/>
    <w:rsid w:val="003B1687"/>
    <w:rsid w:val="003C3E81"/>
    <w:rsid w:val="003D35BF"/>
    <w:rsid w:val="00467446"/>
    <w:rsid w:val="004A1F76"/>
    <w:rsid w:val="004B6103"/>
    <w:rsid w:val="004D7A3E"/>
    <w:rsid w:val="004E069D"/>
    <w:rsid w:val="0051229B"/>
    <w:rsid w:val="005265A7"/>
    <w:rsid w:val="005975AF"/>
    <w:rsid w:val="005B01A0"/>
    <w:rsid w:val="005B408A"/>
    <w:rsid w:val="005C5FA5"/>
    <w:rsid w:val="005E75E9"/>
    <w:rsid w:val="005F1401"/>
    <w:rsid w:val="006B50E8"/>
    <w:rsid w:val="006C3E84"/>
    <w:rsid w:val="006C4929"/>
    <w:rsid w:val="00700FA0"/>
    <w:rsid w:val="00724CB2"/>
    <w:rsid w:val="0079719F"/>
    <w:rsid w:val="007B32E4"/>
    <w:rsid w:val="0081798F"/>
    <w:rsid w:val="00820D4C"/>
    <w:rsid w:val="00841C38"/>
    <w:rsid w:val="00881F5A"/>
    <w:rsid w:val="008C5FA9"/>
    <w:rsid w:val="008C6B84"/>
    <w:rsid w:val="0091799C"/>
    <w:rsid w:val="00951EF8"/>
    <w:rsid w:val="009714E1"/>
    <w:rsid w:val="00984823"/>
    <w:rsid w:val="0098783B"/>
    <w:rsid w:val="009B0731"/>
    <w:rsid w:val="009B09B0"/>
    <w:rsid w:val="009E6561"/>
    <w:rsid w:val="00A16A00"/>
    <w:rsid w:val="00A66792"/>
    <w:rsid w:val="00A82625"/>
    <w:rsid w:val="00AB5615"/>
    <w:rsid w:val="00AC089B"/>
    <w:rsid w:val="00AE1E44"/>
    <w:rsid w:val="00AE4427"/>
    <w:rsid w:val="00B04785"/>
    <w:rsid w:val="00B443C3"/>
    <w:rsid w:val="00B45166"/>
    <w:rsid w:val="00B83BFC"/>
    <w:rsid w:val="00BC3DED"/>
    <w:rsid w:val="00BF343C"/>
    <w:rsid w:val="00C125E5"/>
    <w:rsid w:val="00C178E5"/>
    <w:rsid w:val="00C201F2"/>
    <w:rsid w:val="00C20301"/>
    <w:rsid w:val="00C617B5"/>
    <w:rsid w:val="00C73793"/>
    <w:rsid w:val="00CB24EF"/>
    <w:rsid w:val="00D0641D"/>
    <w:rsid w:val="00D56A55"/>
    <w:rsid w:val="00DA151E"/>
    <w:rsid w:val="00DD1C31"/>
    <w:rsid w:val="00DE6621"/>
    <w:rsid w:val="00E1552A"/>
    <w:rsid w:val="00E94A7E"/>
    <w:rsid w:val="00EC46DE"/>
    <w:rsid w:val="00EC7370"/>
    <w:rsid w:val="00EE38B1"/>
    <w:rsid w:val="00F11515"/>
    <w:rsid w:val="00F16D24"/>
    <w:rsid w:val="00F84152"/>
    <w:rsid w:val="00F851B7"/>
    <w:rsid w:val="00FC553D"/>
    <w:rsid w:val="00FC6A51"/>
    <w:rsid w:val="00FD66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480" w:lineRule="auto"/>
        <w:ind w:left="1559" w:right="17" w:hanging="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CCC"/>
    <w:rPr>
      <w:color w:val="0000FF" w:themeColor="hyperlink"/>
      <w:u w:val="single"/>
    </w:rPr>
  </w:style>
  <w:style w:type="table" w:styleId="TableGrid">
    <w:name w:val="Table Grid"/>
    <w:basedOn w:val="TableNormal"/>
    <w:uiPriority w:val="59"/>
    <w:rsid w:val="000E35E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5522F"/>
    <w:pPr>
      <w:autoSpaceDE w:val="0"/>
      <w:autoSpaceDN w:val="0"/>
      <w:adjustRightInd w:val="0"/>
      <w:spacing w:line="240" w:lineRule="auto"/>
      <w:ind w:left="0" w:right="0" w:firstLine="0"/>
    </w:pPr>
    <w:rPr>
      <w:rFonts w:eastAsia="Calibri" w:cs="Times New Roman"/>
      <w:color w:val="000000"/>
      <w:szCs w:val="24"/>
    </w:rPr>
  </w:style>
  <w:style w:type="paragraph" w:styleId="ListParagraph">
    <w:name w:val="List Paragraph"/>
    <w:basedOn w:val="Normal"/>
    <w:uiPriority w:val="34"/>
    <w:qFormat/>
    <w:rsid w:val="00467446"/>
    <w:pPr>
      <w:ind w:left="720"/>
      <w:contextualSpacing/>
    </w:pPr>
  </w:style>
  <w:style w:type="paragraph" w:styleId="BalloonText">
    <w:name w:val="Balloon Text"/>
    <w:basedOn w:val="Normal"/>
    <w:link w:val="BalloonTextChar"/>
    <w:uiPriority w:val="99"/>
    <w:semiHidden/>
    <w:unhideWhenUsed/>
    <w:rsid w:val="00C737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93"/>
    <w:rPr>
      <w:rFonts w:ascii="Tahoma" w:hAnsi="Tahoma" w:cs="Tahoma"/>
      <w:sz w:val="16"/>
      <w:szCs w:val="16"/>
    </w:rPr>
  </w:style>
  <w:style w:type="paragraph" w:styleId="Header">
    <w:name w:val="header"/>
    <w:basedOn w:val="Normal"/>
    <w:link w:val="HeaderChar"/>
    <w:uiPriority w:val="99"/>
    <w:unhideWhenUsed/>
    <w:rsid w:val="00055CC3"/>
    <w:pPr>
      <w:tabs>
        <w:tab w:val="center" w:pos="4513"/>
        <w:tab w:val="right" w:pos="9026"/>
      </w:tabs>
      <w:spacing w:line="240" w:lineRule="auto"/>
    </w:pPr>
  </w:style>
  <w:style w:type="character" w:customStyle="1" w:styleId="HeaderChar">
    <w:name w:val="Header Char"/>
    <w:basedOn w:val="DefaultParagraphFont"/>
    <w:link w:val="Header"/>
    <w:uiPriority w:val="99"/>
    <w:rsid w:val="00055CC3"/>
  </w:style>
  <w:style w:type="paragraph" w:styleId="Footer">
    <w:name w:val="footer"/>
    <w:basedOn w:val="Normal"/>
    <w:link w:val="FooterChar"/>
    <w:uiPriority w:val="99"/>
    <w:unhideWhenUsed/>
    <w:rsid w:val="00055CC3"/>
    <w:pPr>
      <w:tabs>
        <w:tab w:val="center" w:pos="4513"/>
        <w:tab w:val="right" w:pos="9026"/>
      </w:tabs>
      <w:spacing w:line="240" w:lineRule="auto"/>
    </w:pPr>
  </w:style>
  <w:style w:type="character" w:customStyle="1" w:styleId="FooterChar">
    <w:name w:val="Footer Char"/>
    <w:basedOn w:val="DefaultParagraphFont"/>
    <w:link w:val="Footer"/>
    <w:uiPriority w:val="99"/>
    <w:rsid w:val="00055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480" w:lineRule="auto"/>
        <w:ind w:left="1559" w:right="17" w:hanging="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CCC"/>
    <w:rPr>
      <w:color w:val="0000FF" w:themeColor="hyperlink"/>
      <w:u w:val="single"/>
    </w:rPr>
  </w:style>
  <w:style w:type="table" w:styleId="TableGrid">
    <w:name w:val="Table Grid"/>
    <w:basedOn w:val="TableNormal"/>
    <w:uiPriority w:val="59"/>
    <w:rsid w:val="000E35E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5522F"/>
    <w:pPr>
      <w:autoSpaceDE w:val="0"/>
      <w:autoSpaceDN w:val="0"/>
      <w:adjustRightInd w:val="0"/>
      <w:spacing w:line="240" w:lineRule="auto"/>
      <w:ind w:left="0" w:right="0" w:firstLine="0"/>
    </w:pPr>
    <w:rPr>
      <w:rFonts w:eastAsia="Calibri" w:cs="Times New Roman"/>
      <w:color w:val="000000"/>
      <w:szCs w:val="24"/>
    </w:rPr>
  </w:style>
  <w:style w:type="paragraph" w:styleId="ListParagraph">
    <w:name w:val="List Paragraph"/>
    <w:basedOn w:val="Normal"/>
    <w:uiPriority w:val="34"/>
    <w:qFormat/>
    <w:rsid w:val="00467446"/>
    <w:pPr>
      <w:ind w:left="720"/>
      <w:contextualSpacing/>
    </w:pPr>
  </w:style>
  <w:style w:type="paragraph" w:styleId="BalloonText">
    <w:name w:val="Balloon Text"/>
    <w:basedOn w:val="Normal"/>
    <w:link w:val="BalloonTextChar"/>
    <w:uiPriority w:val="99"/>
    <w:semiHidden/>
    <w:unhideWhenUsed/>
    <w:rsid w:val="00C737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93"/>
    <w:rPr>
      <w:rFonts w:ascii="Tahoma" w:hAnsi="Tahoma" w:cs="Tahoma"/>
      <w:sz w:val="16"/>
      <w:szCs w:val="16"/>
    </w:rPr>
  </w:style>
  <w:style w:type="paragraph" w:styleId="Header">
    <w:name w:val="header"/>
    <w:basedOn w:val="Normal"/>
    <w:link w:val="HeaderChar"/>
    <w:uiPriority w:val="99"/>
    <w:unhideWhenUsed/>
    <w:rsid w:val="00055CC3"/>
    <w:pPr>
      <w:tabs>
        <w:tab w:val="center" w:pos="4513"/>
        <w:tab w:val="right" w:pos="9026"/>
      </w:tabs>
      <w:spacing w:line="240" w:lineRule="auto"/>
    </w:pPr>
  </w:style>
  <w:style w:type="character" w:customStyle="1" w:styleId="HeaderChar">
    <w:name w:val="Header Char"/>
    <w:basedOn w:val="DefaultParagraphFont"/>
    <w:link w:val="Header"/>
    <w:uiPriority w:val="99"/>
    <w:rsid w:val="00055CC3"/>
  </w:style>
  <w:style w:type="paragraph" w:styleId="Footer">
    <w:name w:val="footer"/>
    <w:basedOn w:val="Normal"/>
    <w:link w:val="FooterChar"/>
    <w:uiPriority w:val="99"/>
    <w:unhideWhenUsed/>
    <w:rsid w:val="00055CC3"/>
    <w:pPr>
      <w:tabs>
        <w:tab w:val="center" w:pos="4513"/>
        <w:tab w:val="right" w:pos="9026"/>
      </w:tabs>
      <w:spacing w:line="240" w:lineRule="auto"/>
    </w:pPr>
  </w:style>
  <w:style w:type="character" w:customStyle="1" w:styleId="FooterChar">
    <w:name w:val="Footer Char"/>
    <w:basedOn w:val="DefaultParagraphFont"/>
    <w:link w:val="Footer"/>
    <w:uiPriority w:val="99"/>
    <w:rsid w:val="0005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epitriani1@gmail.com1" TargetMode="External"/><Relationship Id="rId13" Type="http://schemas.openxmlformats.org/officeDocument/2006/relationships/image" Target="media/image2.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findo.com" TargetMode="External"/><Relationship Id="rId5" Type="http://schemas.openxmlformats.org/officeDocument/2006/relationships/webSettings" Target="webSettings.xml"/><Relationship Id="rId15" Type="http://schemas.openxmlformats.org/officeDocument/2006/relationships/hyperlink" Target="http://www.idx.co.id" TargetMode="External"/><Relationship Id="rId23" Type="http://schemas.openxmlformats.org/officeDocument/2006/relationships/theme" Target="theme/theme1.xml"/><Relationship Id="rId10" Type="http://schemas.openxmlformats.org/officeDocument/2006/relationships/hyperlink" Target="mailto:andrian.noviardy@binadarma.ac.id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oppy.indriani@binadarma.ac.id2" TargetMode="External"/><Relationship Id="rId14" Type="http://schemas.openxmlformats.org/officeDocument/2006/relationships/hyperlink" Target="http://www.pefind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7</cp:lastModifiedBy>
  <cp:revision>2</cp:revision>
  <dcterms:created xsi:type="dcterms:W3CDTF">2016-08-10T06:45:00Z</dcterms:created>
  <dcterms:modified xsi:type="dcterms:W3CDTF">2016-08-10T06:45:00Z</dcterms:modified>
</cp:coreProperties>
</file>