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9F" w:rsidRPr="00B12C98" w:rsidRDefault="0019729F" w:rsidP="0019729F">
      <w:pPr>
        <w:autoSpaceDE w:val="0"/>
        <w:autoSpaceDN w:val="0"/>
        <w:adjustRightInd w:val="0"/>
        <w:jc w:val="center"/>
        <w:rPr>
          <w:sz w:val="28"/>
          <w:szCs w:val="28"/>
          <w:lang w:val="id-ID"/>
        </w:rPr>
      </w:pPr>
      <w:r w:rsidRPr="00B12C98">
        <w:rPr>
          <w:sz w:val="28"/>
          <w:szCs w:val="28"/>
          <w:lang w:val="id-ID"/>
        </w:rPr>
        <w:t>Energy consumptions of the submerged UF system</w:t>
      </w:r>
    </w:p>
    <w:p w:rsidR="0019729F" w:rsidRPr="0051659A" w:rsidRDefault="0019729F" w:rsidP="0019729F">
      <w:pPr>
        <w:autoSpaceDE w:val="0"/>
        <w:autoSpaceDN w:val="0"/>
        <w:adjustRightInd w:val="0"/>
        <w:jc w:val="center"/>
        <w:rPr>
          <w:sz w:val="18"/>
          <w:szCs w:val="18"/>
          <w:lang w:val="id-ID"/>
        </w:rPr>
      </w:pPr>
    </w:p>
    <w:p w:rsidR="0019729F" w:rsidRPr="00141DF6" w:rsidRDefault="0019729F" w:rsidP="0019729F">
      <w:pPr>
        <w:tabs>
          <w:tab w:val="left" w:pos="6220"/>
        </w:tabs>
        <w:autoSpaceDE w:val="0"/>
        <w:autoSpaceDN w:val="0"/>
        <w:adjustRightInd w:val="0"/>
        <w:rPr>
          <w:sz w:val="18"/>
          <w:szCs w:val="18"/>
        </w:rPr>
      </w:pPr>
    </w:p>
    <w:p w:rsidR="0019729F" w:rsidRPr="00B12C98" w:rsidRDefault="0019729F" w:rsidP="0019729F">
      <w:pPr>
        <w:jc w:val="center"/>
        <w:rPr>
          <w:lang w:val="id-ID"/>
        </w:rPr>
      </w:pPr>
      <w:r w:rsidRPr="00B12C98">
        <w:t>E. Yuliwati</w:t>
      </w:r>
      <w:r w:rsidRPr="00B12C98">
        <w:rPr>
          <w:vertAlign w:val="superscript"/>
        </w:rPr>
        <w:t>a</w:t>
      </w:r>
      <w:proofErr w:type="gramStart"/>
      <w:r w:rsidRPr="00B12C98">
        <w:rPr>
          <w:vertAlign w:val="superscript"/>
          <w:lang w:val="id-ID"/>
        </w:rPr>
        <w:t>,c</w:t>
      </w:r>
      <w:proofErr w:type="gramEnd"/>
      <w:r w:rsidRPr="00B12C98">
        <w:t>, A.F. Ismail</w:t>
      </w:r>
      <w:r w:rsidRPr="00B12C98">
        <w:rPr>
          <w:vertAlign w:val="superscript"/>
        </w:rPr>
        <w:t>a,b</w:t>
      </w:r>
      <w:r w:rsidRPr="00B12C98">
        <w:rPr>
          <w:vertAlign w:val="subscript"/>
          <w:lang w:val="id-ID"/>
        </w:rPr>
        <w:t>,</w:t>
      </w:r>
      <w:r w:rsidRPr="00B12C98">
        <w:rPr>
          <w:lang w:val="id-ID"/>
        </w:rPr>
        <w:t>M.A. Kassim</w:t>
      </w:r>
      <w:r w:rsidRPr="00B12C98">
        <w:rPr>
          <w:vertAlign w:val="superscript"/>
          <w:lang w:val="id-ID"/>
        </w:rPr>
        <w:t>a,d</w:t>
      </w:r>
    </w:p>
    <w:p w:rsidR="0019729F" w:rsidRPr="00B669E2" w:rsidRDefault="0019729F" w:rsidP="0019729F">
      <w:pPr>
        <w:jc w:val="center"/>
        <w:rPr>
          <w:i/>
          <w:iCs/>
          <w:sz w:val="20"/>
          <w:szCs w:val="20"/>
        </w:rPr>
      </w:pPr>
    </w:p>
    <w:p w:rsidR="0019729F" w:rsidRDefault="0019729F" w:rsidP="0019729F">
      <w:pPr>
        <w:jc w:val="center"/>
        <w:rPr>
          <w:i/>
          <w:iCs/>
          <w:sz w:val="20"/>
          <w:szCs w:val="20"/>
        </w:rPr>
      </w:pPr>
      <w:proofErr w:type="gramStart"/>
      <w:r w:rsidRPr="00AB4BB7">
        <w:rPr>
          <w:i/>
          <w:iCs/>
          <w:sz w:val="20"/>
          <w:szCs w:val="20"/>
          <w:vertAlign w:val="superscript"/>
        </w:rPr>
        <w:t>a</w:t>
      </w:r>
      <w:r w:rsidRPr="00AB4BB7">
        <w:rPr>
          <w:i/>
          <w:iCs/>
          <w:sz w:val="20"/>
          <w:szCs w:val="20"/>
        </w:rPr>
        <w:t>Advanced</w:t>
      </w:r>
      <w:proofErr w:type="gramEnd"/>
      <w:r w:rsidRPr="00AB4BB7">
        <w:rPr>
          <w:i/>
          <w:iCs/>
          <w:sz w:val="20"/>
          <w:szCs w:val="20"/>
        </w:rPr>
        <w:t xml:space="preserve"> Membrane Technology Research Centre (AMTEC),</w:t>
      </w:r>
    </w:p>
    <w:p w:rsidR="0019729F" w:rsidRPr="0015163F" w:rsidRDefault="0019729F" w:rsidP="0019729F">
      <w:pPr>
        <w:jc w:val="center"/>
        <w:rPr>
          <w:i/>
          <w:iCs/>
          <w:sz w:val="20"/>
          <w:szCs w:val="20"/>
        </w:rPr>
      </w:pPr>
      <w:proofErr w:type="gramStart"/>
      <w:r>
        <w:rPr>
          <w:i/>
          <w:iCs/>
          <w:sz w:val="20"/>
          <w:szCs w:val="20"/>
          <w:vertAlign w:val="superscript"/>
        </w:rPr>
        <w:t>b</w:t>
      </w:r>
      <w:r>
        <w:rPr>
          <w:i/>
          <w:iCs/>
          <w:sz w:val="20"/>
          <w:szCs w:val="20"/>
        </w:rPr>
        <w:t>Faculty</w:t>
      </w:r>
      <w:proofErr w:type="gramEnd"/>
      <w:r>
        <w:rPr>
          <w:i/>
          <w:iCs/>
          <w:sz w:val="20"/>
          <w:szCs w:val="20"/>
        </w:rPr>
        <w:t xml:space="preserve"> of Petroleum and Renewable Energy Engineering,</w:t>
      </w:r>
    </w:p>
    <w:p w:rsidR="0019729F" w:rsidRPr="00AB4BB7" w:rsidRDefault="0019729F" w:rsidP="0019729F">
      <w:pPr>
        <w:jc w:val="center"/>
        <w:rPr>
          <w:i/>
          <w:iCs/>
          <w:sz w:val="20"/>
          <w:szCs w:val="20"/>
          <w:lang w:val="it-IT"/>
        </w:rPr>
      </w:pPr>
      <w:r w:rsidRPr="00AB4BB7">
        <w:rPr>
          <w:i/>
          <w:iCs/>
          <w:sz w:val="20"/>
          <w:szCs w:val="20"/>
          <w:lang w:val="it-IT"/>
        </w:rPr>
        <w:t>Universiti Teknologi Malaysia, 81310 UTM, Skudai Johor, Malaysia</w:t>
      </w:r>
    </w:p>
    <w:p w:rsidR="0019729F" w:rsidRPr="00AB4BB7" w:rsidRDefault="0019729F" w:rsidP="0019729F">
      <w:pPr>
        <w:jc w:val="center"/>
        <w:rPr>
          <w:i/>
          <w:iCs/>
          <w:sz w:val="20"/>
          <w:szCs w:val="20"/>
          <w:lang w:val="it-IT"/>
        </w:rPr>
      </w:pPr>
      <w:r w:rsidRPr="00AB4BB7">
        <w:rPr>
          <w:i/>
          <w:iCs/>
          <w:sz w:val="20"/>
          <w:szCs w:val="20"/>
          <w:lang w:val="it-IT"/>
        </w:rPr>
        <w:t>Tel. +60 (7) 553-5592; Fax: +60 (7) 558-1463</w:t>
      </w:r>
    </w:p>
    <w:p w:rsidR="0019729F" w:rsidRPr="0015163F" w:rsidRDefault="0019729F" w:rsidP="0019729F">
      <w:pPr>
        <w:jc w:val="center"/>
        <w:rPr>
          <w:i/>
          <w:iCs/>
          <w:sz w:val="20"/>
          <w:szCs w:val="20"/>
        </w:rPr>
      </w:pPr>
      <w:r>
        <w:rPr>
          <w:i/>
          <w:iCs/>
          <w:sz w:val="20"/>
          <w:szCs w:val="20"/>
          <w:vertAlign w:val="superscript"/>
          <w:lang w:val="id-ID"/>
        </w:rPr>
        <w:t>c</w:t>
      </w:r>
      <w:r>
        <w:rPr>
          <w:i/>
          <w:iCs/>
          <w:sz w:val="20"/>
          <w:szCs w:val="20"/>
          <w:lang w:val="id-ID"/>
        </w:rPr>
        <w:t xml:space="preserve">Department of </w:t>
      </w:r>
      <w:r w:rsidR="00B01AD9">
        <w:rPr>
          <w:i/>
          <w:iCs/>
          <w:sz w:val="20"/>
          <w:szCs w:val="20"/>
          <w:lang w:val="id-ID"/>
        </w:rPr>
        <w:t>Industrial</w:t>
      </w:r>
      <w:r>
        <w:rPr>
          <w:i/>
          <w:iCs/>
          <w:sz w:val="20"/>
          <w:szCs w:val="20"/>
          <w:lang w:val="id-ID"/>
        </w:rPr>
        <w:t xml:space="preserve"> Engineering, F</w:t>
      </w:r>
      <w:r>
        <w:rPr>
          <w:i/>
          <w:iCs/>
          <w:sz w:val="20"/>
          <w:szCs w:val="20"/>
        </w:rPr>
        <w:t xml:space="preserve">aculty of </w:t>
      </w:r>
      <w:r>
        <w:rPr>
          <w:i/>
          <w:iCs/>
          <w:sz w:val="20"/>
          <w:szCs w:val="20"/>
          <w:lang w:val="id-ID"/>
        </w:rPr>
        <w:t>Engineering</w:t>
      </w:r>
      <w:r>
        <w:rPr>
          <w:i/>
          <w:iCs/>
          <w:sz w:val="20"/>
          <w:szCs w:val="20"/>
        </w:rPr>
        <w:t>,</w:t>
      </w:r>
    </w:p>
    <w:p w:rsidR="0019729F" w:rsidRPr="00AB4BB7" w:rsidRDefault="0019729F" w:rsidP="0019729F">
      <w:pPr>
        <w:jc w:val="center"/>
        <w:rPr>
          <w:i/>
          <w:iCs/>
          <w:sz w:val="20"/>
          <w:szCs w:val="20"/>
          <w:lang w:val="it-IT"/>
        </w:rPr>
      </w:pPr>
      <w:r w:rsidRPr="00AB4BB7">
        <w:rPr>
          <w:i/>
          <w:iCs/>
          <w:sz w:val="20"/>
          <w:szCs w:val="20"/>
          <w:lang w:val="it-IT"/>
        </w:rPr>
        <w:t>Univer</w:t>
      </w:r>
      <w:r w:rsidR="00B01AD9">
        <w:rPr>
          <w:i/>
          <w:iCs/>
          <w:sz w:val="20"/>
          <w:szCs w:val="20"/>
          <w:lang w:val="id-ID"/>
        </w:rPr>
        <w:t>s</w:t>
      </w:r>
      <w:r w:rsidRPr="00AB4BB7">
        <w:rPr>
          <w:i/>
          <w:iCs/>
          <w:sz w:val="20"/>
          <w:szCs w:val="20"/>
          <w:lang w:val="it-IT"/>
        </w:rPr>
        <w:t>it</w:t>
      </w:r>
      <w:r w:rsidR="00B01AD9">
        <w:rPr>
          <w:i/>
          <w:iCs/>
          <w:sz w:val="20"/>
          <w:szCs w:val="20"/>
          <w:lang w:val="id-ID"/>
        </w:rPr>
        <w:t>y of Bina Darma</w:t>
      </w:r>
      <w:r>
        <w:rPr>
          <w:i/>
          <w:iCs/>
          <w:sz w:val="20"/>
          <w:szCs w:val="20"/>
          <w:lang w:val="id-ID"/>
        </w:rPr>
        <w:t>,</w:t>
      </w:r>
      <w:r w:rsidR="00B01AD9">
        <w:rPr>
          <w:i/>
          <w:iCs/>
          <w:sz w:val="20"/>
          <w:szCs w:val="20"/>
          <w:lang w:val="id-ID"/>
        </w:rPr>
        <w:t>Palembang,</w:t>
      </w:r>
      <w:r>
        <w:rPr>
          <w:i/>
          <w:iCs/>
          <w:sz w:val="20"/>
          <w:szCs w:val="20"/>
          <w:lang w:val="id-ID"/>
        </w:rPr>
        <w:t xml:space="preserve"> Indonesia</w:t>
      </w:r>
    </w:p>
    <w:p w:rsidR="0019729F" w:rsidRDefault="0019729F" w:rsidP="0019729F">
      <w:pPr>
        <w:jc w:val="center"/>
        <w:rPr>
          <w:i/>
          <w:iCs/>
          <w:sz w:val="20"/>
          <w:szCs w:val="20"/>
          <w:lang w:val="id-ID"/>
        </w:rPr>
      </w:pPr>
      <w:r w:rsidRPr="00AB4BB7">
        <w:rPr>
          <w:i/>
          <w:iCs/>
          <w:sz w:val="20"/>
          <w:szCs w:val="20"/>
          <w:lang w:val="it-IT"/>
        </w:rPr>
        <w:t>Tel. +6</w:t>
      </w:r>
      <w:r>
        <w:rPr>
          <w:i/>
          <w:iCs/>
          <w:sz w:val="20"/>
          <w:szCs w:val="20"/>
          <w:lang w:val="id-ID"/>
        </w:rPr>
        <w:t>2</w:t>
      </w:r>
      <w:r w:rsidRPr="00AB4BB7">
        <w:rPr>
          <w:i/>
          <w:iCs/>
          <w:sz w:val="20"/>
          <w:szCs w:val="20"/>
          <w:lang w:val="it-IT"/>
        </w:rPr>
        <w:t xml:space="preserve"> (7</w:t>
      </w:r>
      <w:r>
        <w:rPr>
          <w:i/>
          <w:iCs/>
          <w:sz w:val="20"/>
          <w:szCs w:val="20"/>
          <w:lang w:val="id-ID"/>
        </w:rPr>
        <w:t>11</w:t>
      </w:r>
      <w:r w:rsidRPr="00AB4BB7">
        <w:rPr>
          <w:i/>
          <w:iCs/>
          <w:sz w:val="20"/>
          <w:szCs w:val="20"/>
          <w:lang w:val="it-IT"/>
        </w:rPr>
        <w:t>) 5</w:t>
      </w:r>
      <w:r w:rsidR="00B01AD9">
        <w:rPr>
          <w:i/>
          <w:iCs/>
          <w:sz w:val="20"/>
          <w:szCs w:val="20"/>
          <w:lang w:val="id-ID"/>
        </w:rPr>
        <w:t>15-679</w:t>
      </w:r>
    </w:p>
    <w:p w:rsidR="0019729F" w:rsidRDefault="0019729F" w:rsidP="0019729F">
      <w:pPr>
        <w:rPr>
          <w:i/>
          <w:iCs/>
          <w:sz w:val="20"/>
          <w:szCs w:val="20"/>
          <w:lang w:val="id-ID"/>
        </w:rPr>
      </w:pPr>
      <w:r>
        <w:rPr>
          <w:i/>
          <w:iCs/>
          <w:sz w:val="20"/>
          <w:szCs w:val="20"/>
          <w:vertAlign w:val="superscript"/>
          <w:lang w:val="id-ID"/>
        </w:rPr>
        <w:t>d</w:t>
      </w:r>
      <w:r>
        <w:rPr>
          <w:i/>
          <w:iCs/>
          <w:sz w:val="20"/>
          <w:szCs w:val="20"/>
          <w:lang w:val="id-ID"/>
        </w:rPr>
        <w:t xml:space="preserve">Centre for Water Advanced Technologies and Environmental Research (CWATER), </w:t>
      </w:r>
    </w:p>
    <w:p w:rsidR="0019729F" w:rsidRDefault="0019729F" w:rsidP="0019729F">
      <w:pPr>
        <w:jc w:val="center"/>
        <w:rPr>
          <w:i/>
          <w:iCs/>
          <w:sz w:val="20"/>
          <w:szCs w:val="20"/>
        </w:rPr>
      </w:pPr>
      <w:r>
        <w:rPr>
          <w:i/>
          <w:iCs/>
          <w:sz w:val="20"/>
          <w:szCs w:val="20"/>
          <w:lang w:val="id-ID"/>
        </w:rPr>
        <w:t>Swansea University, United Kingdom</w:t>
      </w:r>
    </w:p>
    <w:p w:rsidR="0019729F" w:rsidRPr="00AB4BB7" w:rsidRDefault="0019729F" w:rsidP="0019729F">
      <w:pPr>
        <w:jc w:val="center"/>
        <w:rPr>
          <w:i/>
          <w:iCs/>
          <w:sz w:val="20"/>
          <w:szCs w:val="20"/>
          <w:lang w:val="it-IT"/>
        </w:rPr>
      </w:pPr>
    </w:p>
    <w:p w:rsidR="0019729F" w:rsidRPr="00E96BC0" w:rsidRDefault="0019729F" w:rsidP="0019729F">
      <w:pPr>
        <w:jc w:val="center"/>
        <w:rPr>
          <w:i/>
          <w:iCs/>
          <w:sz w:val="20"/>
          <w:szCs w:val="20"/>
          <w:lang w:val="id-ID"/>
        </w:rPr>
      </w:pPr>
    </w:p>
    <w:p w:rsidR="0019729F" w:rsidRDefault="0019729F" w:rsidP="0019729F">
      <w:pPr>
        <w:autoSpaceDE w:val="0"/>
        <w:autoSpaceDN w:val="0"/>
        <w:adjustRightInd w:val="0"/>
        <w:jc w:val="both"/>
        <w:rPr>
          <w:b/>
          <w:lang w:val="id-ID"/>
        </w:rPr>
      </w:pPr>
    </w:p>
    <w:p w:rsidR="0019729F" w:rsidRPr="00444F8A" w:rsidRDefault="0019729F" w:rsidP="0019729F">
      <w:pPr>
        <w:autoSpaceDE w:val="0"/>
        <w:autoSpaceDN w:val="0"/>
        <w:adjustRightInd w:val="0"/>
        <w:jc w:val="both"/>
        <w:rPr>
          <w:b/>
        </w:rPr>
      </w:pPr>
      <w:r w:rsidRPr="00444F8A">
        <w:rPr>
          <w:b/>
        </w:rPr>
        <w:t>Abstract</w:t>
      </w:r>
    </w:p>
    <w:p w:rsidR="0019729F" w:rsidRPr="00C2689A" w:rsidRDefault="0019729F" w:rsidP="0019729F">
      <w:pPr>
        <w:ind w:firstLine="720"/>
        <w:jc w:val="both"/>
        <w:rPr>
          <w:lang w:val="id-ID"/>
        </w:rPr>
      </w:pPr>
    </w:p>
    <w:p w:rsidR="0019729F" w:rsidRPr="009C2F00" w:rsidRDefault="0019729F" w:rsidP="0019729F">
      <w:pPr>
        <w:jc w:val="both"/>
        <w:rPr>
          <w:sz w:val="20"/>
          <w:szCs w:val="20"/>
          <w:lang w:val="id-ID"/>
        </w:rPr>
      </w:pPr>
      <w:r w:rsidRPr="009C2F00">
        <w:rPr>
          <w:sz w:val="20"/>
          <w:szCs w:val="20"/>
          <w:lang w:val="id-ID"/>
        </w:rPr>
        <w:t>Refinery wastewater treatment is needed especially in the oil-producing arid regions such as oil refineries due to water scarcity. One of potentially applicable process</w:t>
      </w:r>
      <w:r w:rsidRPr="009C2F00">
        <w:rPr>
          <w:rFonts w:hint="eastAsia"/>
          <w:sz w:val="20"/>
          <w:szCs w:val="20"/>
          <w:lang w:val="id-ID" w:eastAsia="ja-JP"/>
        </w:rPr>
        <w:t>es</w:t>
      </w:r>
      <w:r w:rsidRPr="009C2F00">
        <w:rPr>
          <w:sz w:val="20"/>
          <w:szCs w:val="20"/>
          <w:lang w:val="id-ID"/>
        </w:rPr>
        <w:t xml:space="preserve"> to treat refinery wastewater is a submerged membrane technology due to water scarcity that is caused by producing oily wastewater. </w:t>
      </w:r>
      <w:r w:rsidRPr="009C2F00">
        <w:rPr>
          <w:sz w:val="20"/>
          <w:szCs w:val="20"/>
        </w:rPr>
        <w:t xml:space="preserve">This </w:t>
      </w:r>
      <w:r w:rsidRPr="009C2F00">
        <w:rPr>
          <w:sz w:val="20"/>
          <w:szCs w:val="20"/>
          <w:lang w:val="id-ID"/>
        </w:rPr>
        <w:t>study report</w:t>
      </w:r>
      <w:r w:rsidRPr="009C2F00">
        <w:rPr>
          <w:rFonts w:hint="eastAsia"/>
          <w:sz w:val="20"/>
          <w:szCs w:val="20"/>
          <w:lang w:val="id-ID" w:eastAsia="ja-JP"/>
        </w:rPr>
        <w:t>s</w:t>
      </w:r>
      <w:r w:rsidRPr="009C2F00">
        <w:rPr>
          <w:sz w:val="20"/>
          <w:szCs w:val="20"/>
        </w:rPr>
        <w:t xml:space="preserve"> the </w:t>
      </w:r>
      <w:r w:rsidRPr="009C2F00">
        <w:rPr>
          <w:sz w:val="20"/>
          <w:szCs w:val="20"/>
          <w:lang w:val="id-ID"/>
        </w:rPr>
        <w:t>energy consumption analysis of</w:t>
      </w:r>
      <w:r w:rsidRPr="009C2F00">
        <w:rPr>
          <w:sz w:val="20"/>
          <w:szCs w:val="20"/>
        </w:rPr>
        <w:t xml:space="preserve"> </w:t>
      </w:r>
      <w:r w:rsidRPr="009C2F00">
        <w:rPr>
          <w:sz w:val="20"/>
          <w:szCs w:val="20"/>
          <w:lang w:val="id-ID"/>
        </w:rPr>
        <w:t>membrane for refinery wastewater treatment</w:t>
      </w:r>
      <w:r w:rsidRPr="009C2F00">
        <w:rPr>
          <w:sz w:val="20"/>
          <w:szCs w:val="20"/>
        </w:rPr>
        <w:t xml:space="preserve">. </w:t>
      </w:r>
      <w:r w:rsidRPr="009C2F00">
        <w:rPr>
          <w:sz w:val="20"/>
          <w:szCs w:val="20"/>
          <w:lang w:val="id-ID"/>
        </w:rPr>
        <w:t xml:space="preserve">Results showed that  the invesment and production costs were </w:t>
      </w:r>
      <w:r w:rsidRPr="009C2F00">
        <w:rPr>
          <w:rFonts w:hint="eastAsia"/>
          <w:sz w:val="20"/>
          <w:szCs w:val="20"/>
          <w:lang w:val="id-ID" w:eastAsia="ja-JP"/>
        </w:rPr>
        <w:t>estimated</w:t>
      </w:r>
      <w:r w:rsidRPr="009C2F00">
        <w:rPr>
          <w:sz w:val="20"/>
          <w:szCs w:val="20"/>
          <w:lang w:val="id-ID"/>
        </w:rPr>
        <w:t xml:space="preserve"> to </w:t>
      </w:r>
      <w:r w:rsidRPr="009C2F00">
        <w:rPr>
          <w:rFonts w:hint="eastAsia"/>
          <w:sz w:val="20"/>
          <w:szCs w:val="20"/>
          <w:lang w:val="id-ID" w:eastAsia="ja-JP"/>
        </w:rPr>
        <w:t>be</w:t>
      </w:r>
      <w:r w:rsidRPr="009C2F00">
        <w:rPr>
          <w:sz w:val="20"/>
          <w:szCs w:val="20"/>
          <w:lang w:val="id-ID"/>
        </w:rPr>
        <w:t xml:space="preserve"> the total annual cost per year and costs for treated reuse water of RM 39,174.35 (USD 39,174.35) and RM 21.47/GPD (USD 7.02/GPD), respectively. </w:t>
      </w:r>
    </w:p>
    <w:p w:rsidR="0019729F" w:rsidRPr="00444F8A" w:rsidRDefault="0019729F" w:rsidP="0019729F">
      <w:pPr>
        <w:autoSpaceDE w:val="0"/>
        <w:autoSpaceDN w:val="0"/>
        <w:adjustRightInd w:val="0"/>
        <w:ind w:firstLine="720"/>
        <w:jc w:val="both"/>
      </w:pPr>
    </w:p>
    <w:p w:rsidR="0019729F" w:rsidRPr="00DF35D0" w:rsidRDefault="0019729F" w:rsidP="00E8391C">
      <w:pPr>
        <w:autoSpaceDE w:val="0"/>
        <w:autoSpaceDN w:val="0"/>
        <w:adjustRightInd w:val="0"/>
        <w:ind w:left="1276" w:hanging="1276"/>
        <w:jc w:val="both"/>
        <w:rPr>
          <w:sz w:val="20"/>
          <w:szCs w:val="20"/>
          <w:lang w:val="id-ID"/>
        </w:rPr>
      </w:pPr>
      <w:r w:rsidRPr="00DF35D0">
        <w:rPr>
          <w:sz w:val="20"/>
          <w:szCs w:val="20"/>
        </w:rPr>
        <w:t>Keywords</w:t>
      </w:r>
      <w:r w:rsidRPr="00DF35D0">
        <w:rPr>
          <w:i/>
          <w:sz w:val="20"/>
          <w:szCs w:val="20"/>
        </w:rPr>
        <w:t xml:space="preserve">: </w:t>
      </w:r>
      <w:r w:rsidR="00DF35D0">
        <w:rPr>
          <w:i/>
          <w:sz w:val="20"/>
          <w:szCs w:val="20"/>
          <w:lang w:val="id-ID"/>
        </w:rPr>
        <w:t xml:space="preserve">  </w:t>
      </w:r>
      <w:r w:rsidRPr="00DF35D0">
        <w:rPr>
          <w:sz w:val="20"/>
          <w:szCs w:val="20"/>
        </w:rPr>
        <w:t xml:space="preserve">Submerged </w:t>
      </w:r>
      <w:r w:rsidRPr="00DF35D0">
        <w:rPr>
          <w:sz w:val="20"/>
          <w:szCs w:val="20"/>
          <w:lang w:val="id-ID"/>
        </w:rPr>
        <w:t>membrane ultrafiltration; refinery wastewater; economic evaluation;</w:t>
      </w:r>
      <w:r w:rsidRPr="00DF35D0">
        <w:rPr>
          <w:sz w:val="20"/>
          <w:szCs w:val="20"/>
        </w:rPr>
        <w:t xml:space="preserve"> </w:t>
      </w:r>
      <w:r w:rsidR="00DF35D0">
        <w:rPr>
          <w:sz w:val="20"/>
          <w:szCs w:val="20"/>
          <w:lang w:val="id-ID"/>
        </w:rPr>
        <w:t xml:space="preserve">energy </w:t>
      </w:r>
      <w:r w:rsidRPr="00DF35D0">
        <w:rPr>
          <w:sz w:val="20"/>
          <w:szCs w:val="20"/>
          <w:lang w:val="id-ID"/>
        </w:rPr>
        <w:t>consumption.</w:t>
      </w:r>
    </w:p>
    <w:p w:rsidR="00E8391C" w:rsidRDefault="00E8391C" w:rsidP="00E8391C">
      <w:pPr>
        <w:autoSpaceDE w:val="0"/>
        <w:autoSpaceDN w:val="0"/>
        <w:adjustRightInd w:val="0"/>
        <w:ind w:left="1276" w:hanging="1276"/>
        <w:jc w:val="both"/>
        <w:rPr>
          <w:lang w:val="id-ID"/>
        </w:rPr>
      </w:pPr>
    </w:p>
    <w:p w:rsidR="00E8391C" w:rsidRDefault="00E8391C" w:rsidP="00E8391C">
      <w:pPr>
        <w:autoSpaceDE w:val="0"/>
        <w:autoSpaceDN w:val="0"/>
        <w:adjustRightInd w:val="0"/>
        <w:ind w:left="1276" w:hanging="1276"/>
        <w:jc w:val="both"/>
        <w:rPr>
          <w:i/>
          <w:lang w:val="id-ID"/>
        </w:rPr>
      </w:pPr>
    </w:p>
    <w:p w:rsidR="0019729F" w:rsidRPr="00444F8A" w:rsidRDefault="0019729F" w:rsidP="0019729F">
      <w:pPr>
        <w:numPr>
          <w:ilvl w:val="0"/>
          <w:numId w:val="1"/>
        </w:numPr>
        <w:autoSpaceDE w:val="0"/>
        <w:autoSpaceDN w:val="0"/>
        <w:adjustRightInd w:val="0"/>
        <w:jc w:val="both"/>
        <w:rPr>
          <w:b/>
          <w:lang w:val="id-ID"/>
        </w:rPr>
      </w:pPr>
      <w:r w:rsidRPr="00444F8A">
        <w:rPr>
          <w:b/>
          <w:lang w:val="id-ID"/>
        </w:rPr>
        <w:t>Introduction</w:t>
      </w:r>
    </w:p>
    <w:p w:rsidR="0019729F" w:rsidRDefault="0019729F" w:rsidP="0019729F">
      <w:pPr>
        <w:autoSpaceDE w:val="0"/>
        <w:autoSpaceDN w:val="0"/>
        <w:adjustRightInd w:val="0"/>
        <w:jc w:val="both"/>
        <w:rPr>
          <w:color w:val="FF0000"/>
          <w:sz w:val="18"/>
          <w:szCs w:val="18"/>
          <w:lang w:val="id-ID"/>
        </w:rPr>
      </w:pPr>
    </w:p>
    <w:p w:rsidR="0019729F" w:rsidRDefault="0019729F" w:rsidP="0019729F">
      <w:pPr>
        <w:autoSpaceDE w:val="0"/>
        <w:autoSpaceDN w:val="0"/>
        <w:adjustRightInd w:val="0"/>
        <w:jc w:val="both"/>
        <w:rPr>
          <w:color w:val="FF0000"/>
          <w:sz w:val="18"/>
          <w:szCs w:val="18"/>
          <w:lang w:val="id-ID"/>
        </w:rPr>
      </w:pPr>
    </w:p>
    <w:p w:rsidR="0019729F" w:rsidRDefault="0019729F" w:rsidP="0019729F">
      <w:pPr>
        <w:spacing w:line="360" w:lineRule="auto"/>
        <w:ind w:firstLine="720"/>
        <w:jc w:val="both"/>
        <w:rPr>
          <w:lang w:val="id-ID"/>
        </w:rPr>
      </w:pPr>
      <w:r w:rsidRPr="00574767">
        <w:rPr>
          <w:lang w:val="id-ID"/>
        </w:rPr>
        <w:t xml:space="preserve">The </w:t>
      </w:r>
      <w:r>
        <w:rPr>
          <w:lang w:val="id-ID"/>
        </w:rPr>
        <w:t>impact of membrane filtration versus conventional treatment in water and wastewater reclamation is a key point in the position of such new technology. Several studies have been performed in developing some researchs in the first half of this decade [1-4]. Meanwhile, the need of pure water throughout the world is constantly increas</w:t>
      </w:r>
      <w:r>
        <w:rPr>
          <w:rFonts w:hint="eastAsia"/>
          <w:lang w:val="id-ID" w:eastAsia="ja-JP"/>
        </w:rPr>
        <w:t>ing</w:t>
      </w:r>
      <w:r>
        <w:rPr>
          <w:lang w:val="id-ID"/>
        </w:rPr>
        <w:t xml:space="preserve">, as well as insufficiency </w:t>
      </w:r>
      <w:r>
        <w:rPr>
          <w:rFonts w:hint="eastAsia"/>
          <w:lang w:val="id-ID" w:eastAsia="ja-JP"/>
        </w:rPr>
        <w:t xml:space="preserve">of supply </w:t>
      </w:r>
      <w:r>
        <w:rPr>
          <w:lang w:val="id-ID"/>
        </w:rPr>
        <w:t xml:space="preserve">due to limited stocks and pollution. As reported by Frioui and Oumeddour (2008),  the world has </w:t>
      </w:r>
      <w:r>
        <w:rPr>
          <w:rFonts w:hint="eastAsia"/>
          <w:lang w:val="id-ID" w:eastAsia="ja-JP"/>
        </w:rPr>
        <w:t>experienced</w:t>
      </w:r>
      <w:r>
        <w:rPr>
          <w:lang w:val="id-ID"/>
        </w:rPr>
        <w:t xml:space="preserve"> a six fold increase in the water usage since 1950 and the demand of freshwater increases also twice as fast as population growth from 6 billion in year 2000 to 8 billion </w:t>
      </w:r>
      <w:r>
        <w:rPr>
          <w:rFonts w:hint="eastAsia"/>
          <w:lang w:val="id-ID" w:eastAsia="ja-JP"/>
        </w:rPr>
        <w:t xml:space="preserve">during a period of </w:t>
      </w:r>
      <w:r>
        <w:rPr>
          <w:lang w:val="id-ID"/>
        </w:rPr>
        <w:t xml:space="preserve"> 25 years [5]. Based on this situation, numerous manufacture</w:t>
      </w:r>
      <w:r>
        <w:rPr>
          <w:rFonts w:hint="eastAsia"/>
          <w:lang w:val="id-ID" w:eastAsia="ja-JP"/>
        </w:rPr>
        <w:t>r</w:t>
      </w:r>
      <w:r>
        <w:rPr>
          <w:lang w:val="id-ID"/>
        </w:rPr>
        <w:t xml:space="preserve">s of membrane filtration, especially ultrafiltration membrane system </w:t>
      </w:r>
      <w:r>
        <w:rPr>
          <w:rFonts w:hint="eastAsia"/>
          <w:lang w:val="id-ID" w:eastAsia="ja-JP"/>
        </w:rPr>
        <w:t xml:space="preserve">are currently </w:t>
      </w:r>
      <w:r>
        <w:rPr>
          <w:lang w:val="id-ID"/>
        </w:rPr>
        <w:t>exist</w:t>
      </w:r>
      <w:r>
        <w:rPr>
          <w:rFonts w:hint="eastAsia"/>
          <w:lang w:val="id-ID" w:eastAsia="ja-JP"/>
        </w:rPr>
        <w:t>ing</w:t>
      </w:r>
      <w:r>
        <w:rPr>
          <w:lang w:val="id-ID"/>
        </w:rPr>
        <w:t>, each with their own proprietary technologies. The differences between proprietary systems present significantly varying design considerations. The techn</w:t>
      </w:r>
      <w:r>
        <w:rPr>
          <w:rFonts w:hint="eastAsia"/>
          <w:lang w:val="id-ID" w:eastAsia="ja-JP"/>
        </w:rPr>
        <w:t>ologies</w:t>
      </w:r>
      <w:r>
        <w:rPr>
          <w:lang w:val="id-ID"/>
        </w:rPr>
        <w:t xml:space="preserve"> of commercially available UF membrane</w:t>
      </w:r>
      <w:r>
        <w:rPr>
          <w:rFonts w:hint="eastAsia"/>
          <w:lang w:val="id-ID" w:eastAsia="ja-JP"/>
        </w:rPr>
        <w:t>s</w:t>
      </w:r>
      <w:r>
        <w:rPr>
          <w:lang w:val="id-ID"/>
        </w:rPr>
        <w:t xml:space="preserve"> by major manufacturers </w:t>
      </w:r>
      <w:r>
        <w:rPr>
          <w:rFonts w:hint="eastAsia"/>
          <w:lang w:val="id-ID" w:eastAsia="ja-JP"/>
        </w:rPr>
        <w:t>can</w:t>
      </w:r>
      <w:r>
        <w:rPr>
          <w:lang w:val="id-ID"/>
        </w:rPr>
        <w:t xml:space="preserve"> be summarized as follows, (1) submerged vs. encased membrane system; (2) crossflow vs. dead-end filtration; (3) inside-out vs. outside-in flow; (4) hollow fiber vs. flat sheet; (5) performance </w:t>
      </w:r>
      <w:r>
        <w:rPr>
          <w:lang w:val="id-ID"/>
        </w:rPr>
        <w:lastRenderedPageBreak/>
        <w:t xml:space="preserve">characteristics (flux, recovery, particle rejection, backwash procedures); (6) pretreatment requirements; (7) cost impacts; </w:t>
      </w:r>
      <w:r>
        <w:rPr>
          <w:rFonts w:hint="eastAsia"/>
          <w:lang w:val="id-ID" w:eastAsia="ja-JP"/>
        </w:rPr>
        <w:t xml:space="preserve">and </w:t>
      </w:r>
      <w:r>
        <w:rPr>
          <w:lang w:val="id-ID"/>
        </w:rPr>
        <w:t>(8) installed capacity summaries. S</w:t>
      </w:r>
      <w:r>
        <w:rPr>
          <w:rFonts w:hint="eastAsia"/>
          <w:lang w:val="id-ID" w:eastAsia="ja-JP"/>
        </w:rPr>
        <w:t>ome</w:t>
      </w:r>
      <w:r>
        <w:rPr>
          <w:lang w:val="id-ID"/>
        </w:rPr>
        <w:t xml:space="preserve"> of the major UF system</w:t>
      </w:r>
      <w:r>
        <w:rPr>
          <w:rFonts w:hint="eastAsia"/>
          <w:lang w:val="id-ID" w:eastAsia="ja-JP"/>
        </w:rPr>
        <w:t xml:space="preserve">s for  development of </w:t>
      </w:r>
      <w:r>
        <w:rPr>
          <w:lang w:val="id-ID"/>
        </w:rPr>
        <w:t>water or wastewater filtration and their products have been tabulated in Table 1.</w:t>
      </w:r>
    </w:p>
    <w:p w:rsidR="0019729F" w:rsidRDefault="0019729F" w:rsidP="0019729F">
      <w:pPr>
        <w:spacing w:line="360" w:lineRule="auto"/>
        <w:ind w:firstLine="720"/>
        <w:jc w:val="both"/>
        <w:rPr>
          <w:lang w:val="id-ID"/>
        </w:rPr>
      </w:pPr>
    </w:p>
    <w:p w:rsidR="0019729F" w:rsidRDefault="0019729F" w:rsidP="0019729F">
      <w:pPr>
        <w:spacing w:line="360" w:lineRule="auto"/>
        <w:jc w:val="center"/>
        <w:rPr>
          <w:lang w:val="id-ID"/>
        </w:rPr>
      </w:pPr>
      <w:r>
        <w:rPr>
          <w:lang w:val="id-ID"/>
        </w:rPr>
        <w:t>Table 1. Summary of the major UF/MF systems [3].</w:t>
      </w:r>
    </w:p>
    <w:tbl>
      <w:tblPr>
        <w:tblW w:w="0" w:type="auto"/>
        <w:tblLayout w:type="fixed"/>
        <w:tblLook w:val="04A0"/>
      </w:tblPr>
      <w:tblGrid>
        <w:gridCol w:w="1668"/>
        <w:gridCol w:w="1244"/>
        <w:gridCol w:w="866"/>
        <w:gridCol w:w="1008"/>
        <w:gridCol w:w="1843"/>
        <w:gridCol w:w="850"/>
        <w:gridCol w:w="1050"/>
      </w:tblGrid>
      <w:tr w:rsidR="0019729F" w:rsidRPr="002C797A" w:rsidTr="008F2FAE">
        <w:tc>
          <w:tcPr>
            <w:tcW w:w="1668" w:type="dxa"/>
            <w:tcBorders>
              <w:top w:val="single" w:sz="4" w:space="0" w:color="auto"/>
              <w:bottom w:val="single" w:sz="4" w:space="0" w:color="auto"/>
            </w:tcBorders>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System Manufacturer s</w:t>
            </w:r>
          </w:p>
        </w:tc>
        <w:tc>
          <w:tcPr>
            <w:tcW w:w="1244" w:type="dxa"/>
            <w:tcBorders>
              <w:top w:val="single" w:sz="4" w:space="0" w:color="auto"/>
              <w:bottom w:val="single" w:sz="4" w:space="0" w:color="auto"/>
            </w:tcBorders>
            <w:shd w:val="clear" w:color="auto" w:fill="auto"/>
          </w:tcPr>
          <w:p w:rsidR="0019729F" w:rsidRPr="00AB078B" w:rsidRDefault="0019729F" w:rsidP="008F2FAE">
            <w:pPr>
              <w:spacing w:line="360" w:lineRule="auto"/>
              <w:jc w:val="center"/>
              <w:rPr>
                <w:rFonts w:eastAsia="Calibri"/>
                <w:sz w:val="20"/>
                <w:szCs w:val="20"/>
                <w:lang w:val="id-ID"/>
              </w:rPr>
            </w:pPr>
            <w:r w:rsidRPr="00AB078B">
              <w:rPr>
                <w:rFonts w:eastAsia="Calibri"/>
                <w:sz w:val="20"/>
                <w:szCs w:val="20"/>
                <w:lang w:val="id-ID"/>
              </w:rPr>
              <w:t>System</w:t>
            </w:r>
          </w:p>
          <w:p w:rsidR="0019729F" w:rsidRPr="00AB078B" w:rsidRDefault="0019729F" w:rsidP="008F2FAE">
            <w:pPr>
              <w:spacing w:line="360" w:lineRule="auto"/>
              <w:jc w:val="center"/>
              <w:rPr>
                <w:rFonts w:eastAsia="Calibri"/>
                <w:sz w:val="20"/>
                <w:szCs w:val="20"/>
                <w:lang w:val="id-ID"/>
              </w:rPr>
            </w:pPr>
            <w:r w:rsidRPr="00AB078B">
              <w:rPr>
                <w:rFonts w:eastAsia="Calibri"/>
                <w:sz w:val="20"/>
                <w:szCs w:val="20"/>
                <w:lang w:val="id-ID"/>
              </w:rPr>
              <w:t xml:space="preserve"> type</w:t>
            </w:r>
          </w:p>
        </w:tc>
        <w:tc>
          <w:tcPr>
            <w:tcW w:w="866" w:type="dxa"/>
            <w:tcBorders>
              <w:top w:val="single" w:sz="4" w:space="0" w:color="auto"/>
              <w:bottom w:val="single" w:sz="4" w:space="0" w:color="auto"/>
            </w:tcBorders>
            <w:shd w:val="clear" w:color="auto" w:fill="auto"/>
          </w:tcPr>
          <w:p w:rsidR="0019729F" w:rsidRPr="00AB078B" w:rsidRDefault="0019729F" w:rsidP="008F2FAE">
            <w:pPr>
              <w:spacing w:line="360" w:lineRule="auto"/>
              <w:jc w:val="center"/>
              <w:rPr>
                <w:rFonts w:eastAsia="Calibri"/>
                <w:sz w:val="20"/>
                <w:szCs w:val="20"/>
                <w:lang w:val="id-ID"/>
              </w:rPr>
            </w:pPr>
            <w:r w:rsidRPr="00AB078B">
              <w:rPr>
                <w:rFonts w:eastAsia="Calibri"/>
                <w:sz w:val="20"/>
                <w:szCs w:val="20"/>
                <w:lang w:val="id-ID"/>
              </w:rPr>
              <w:t>Pore size</w:t>
            </w:r>
          </w:p>
        </w:tc>
        <w:tc>
          <w:tcPr>
            <w:tcW w:w="1008" w:type="dxa"/>
            <w:tcBorders>
              <w:top w:val="single" w:sz="4" w:space="0" w:color="auto"/>
              <w:bottom w:val="single" w:sz="4" w:space="0" w:color="auto"/>
            </w:tcBorders>
            <w:shd w:val="clear" w:color="auto" w:fill="auto"/>
          </w:tcPr>
          <w:p w:rsidR="0019729F" w:rsidRPr="00AB078B" w:rsidRDefault="0019729F" w:rsidP="008F2FAE">
            <w:pPr>
              <w:spacing w:line="360" w:lineRule="auto"/>
              <w:jc w:val="center"/>
              <w:rPr>
                <w:rFonts w:eastAsia="Calibri"/>
                <w:sz w:val="20"/>
                <w:szCs w:val="20"/>
                <w:lang w:val="id-ID"/>
              </w:rPr>
            </w:pPr>
            <w:r w:rsidRPr="00AB078B">
              <w:rPr>
                <w:rFonts w:eastAsia="Calibri"/>
                <w:sz w:val="20"/>
                <w:szCs w:val="20"/>
                <w:lang w:val="id-ID"/>
              </w:rPr>
              <w:t>Mode of operation</w:t>
            </w:r>
          </w:p>
        </w:tc>
        <w:tc>
          <w:tcPr>
            <w:tcW w:w="1843" w:type="dxa"/>
            <w:tcBorders>
              <w:top w:val="single" w:sz="4" w:space="0" w:color="auto"/>
              <w:bottom w:val="single" w:sz="4" w:space="0" w:color="auto"/>
            </w:tcBorders>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Cleaning method</w:t>
            </w:r>
          </w:p>
        </w:tc>
        <w:tc>
          <w:tcPr>
            <w:tcW w:w="850" w:type="dxa"/>
            <w:tcBorders>
              <w:top w:val="single" w:sz="4" w:space="0" w:color="auto"/>
              <w:bottom w:val="single" w:sz="4" w:space="0" w:color="auto"/>
            </w:tcBorders>
            <w:shd w:val="clear" w:color="auto" w:fill="auto"/>
          </w:tcPr>
          <w:p w:rsidR="0019729F" w:rsidRPr="00AB078B" w:rsidRDefault="0019729F" w:rsidP="008F2FAE">
            <w:pPr>
              <w:spacing w:line="360" w:lineRule="auto"/>
              <w:jc w:val="center"/>
              <w:rPr>
                <w:rFonts w:eastAsia="Calibri"/>
                <w:sz w:val="20"/>
                <w:szCs w:val="20"/>
                <w:lang w:val="id-ID"/>
              </w:rPr>
            </w:pPr>
            <w:r w:rsidRPr="00AB078B">
              <w:rPr>
                <w:rFonts w:eastAsia="Calibri"/>
                <w:sz w:val="20"/>
                <w:szCs w:val="20"/>
                <w:lang w:val="id-ID"/>
              </w:rPr>
              <w:t xml:space="preserve">Flux </w:t>
            </w:r>
          </w:p>
          <w:p w:rsidR="0019729F" w:rsidRPr="00AB078B" w:rsidRDefault="0019729F" w:rsidP="008F2FAE">
            <w:pPr>
              <w:spacing w:line="360" w:lineRule="auto"/>
              <w:jc w:val="center"/>
              <w:rPr>
                <w:rFonts w:eastAsia="Calibri"/>
                <w:sz w:val="20"/>
                <w:szCs w:val="20"/>
                <w:lang w:val="id-ID"/>
              </w:rPr>
            </w:pPr>
            <w:r w:rsidRPr="00AB078B">
              <w:rPr>
                <w:rFonts w:eastAsia="Calibri"/>
                <w:sz w:val="20"/>
                <w:szCs w:val="20"/>
                <w:lang w:val="id-ID"/>
              </w:rPr>
              <w:t>(gfd)</w:t>
            </w:r>
          </w:p>
        </w:tc>
        <w:tc>
          <w:tcPr>
            <w:tcW w:w="1050" w:type="dxa"/>
            <w:tcBorders>
              <w:top w:val="single" w:sz="4" w:space="0" w:color="auto"/>
              <w:bottom w:val="single" w:sz="4" w:space="0" w:color="auto"/>
            </w:tcBorders>
            <w:shd w:val="clear" w:color="auto" w:fill="auto"/>
          </w:tcPr>
          <w:p w:rsidR="0019729F" w:rsidRPr="00AB078B" w:rsidRDefault="0019729F" w:rsidP="008F2FAE">
            <w:pPr>
              <w:spacing w:line="360" w:lineRule="auto"/>
              <w:jc w:val="center"/>
              <w:rPr>
                <w:rFonts w:eastAsia="Calibri"/>
                <w:sz w:val="20"/>
                <w:szCs w:val="20"/>
                <w:lang w:val="id-ID"/>
              </w:rPr>
            </w:pPr>
            <w:r w:rsidRPr="00AB078B">
              <w:rPr>
                <w:rFonts w:eastAsia="Calibri"/>
                <w:sz w:val="20"/>
                <w:szCs w:val="20"/>
                <w:lang w:val="id-ID"/>
              </w:rPr>
              <w:t>Recovery (%)</w:t>
            </w:r>
          </w:p>
        </w:tc>
      </w:tr>
      <w:tr w:rsidR="0019729F" w:rsidRPr="002C797A" w:rsidTr="008F2FAE">
        <w:tc>
          <w:tcPr>
            <w:tcW w:w="1668" w:type="dxa"/>
            <w:tcBorders>
              <w:top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Koch</w:t>
            </w:r>
          </w:p>
        </w:tc>
        <w:tc>
          <w:tcPr>
            <w:tcW w:w="1244" w:type="dxa"/>
            <w:tcBorders>
              <w:top w:val="single" w:sz="4" w:space="0" w:color="auto"/>
            </w:tcBorders>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Encased UF (8”x48” or 8”x72”)</w:t>
            </w:r>
          </w:p>
        </w:tc>
        <w:tc>
          <w:tcPr>
            <w:tcW w:w="866" w:type="dxa"/>
            <w:tcBorders>
              <w:top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100,000 daltons</w:t>
            </w:r>
          </w:p>
        </w:tc>
        <w:tc>
          <w:tcPr>
            <w:tcW w:w="1008" w:type="dxa"/>
            <w:tcBorders>
              <w:top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I/O</w:t>
            </w:r>
          </w:p>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DE and CF</w:t>
            </w:r>
          </w:p>
        </w:tc>
        <w:tc>
          <w:tcPr>
            <w:tcW w:w="1843" w:type="dxa"/>
            <w:tcBorders>
              <w:top w:val="single" w:sz="4" w:space="0" w:color="auto"/>
            </w:tcBorders>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Chemical soak</w:t>
            </w:r>
          </w:p>
        </w:tc>
        <w:tc>
          <w:tcPr>
            <w:tcW w:w="850" w:type="dxa"/>
            <w:tcBorders>
              <w:top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 xml:space="preserve">N/A </w:t>
            </w:r>
          </w:p>
        </w:tc>
        <w:tc>
          <w:tcPr>
            <w:tcW w:w="1050" w:type="dxa"/>
            <w:tcBorders>
              <w:top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N/A</w:t>
            </w:r>
          </w:p>
        </w:tc>
      </w:tr>
      <w:tr w:rsidR="0019729F" w:rsidRPr="002C797A" w:rsidTr="008F2FAE">
        <w:tc>
          <w:tcPr>
            <w:tcW w:w="166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TriSep-SpiraSep</w:t>
            </w:r>
          </w:p>
        </w:tc>
        <w:tc>
          <w:tcPr>
            <w:tcW w:w="1244"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Spiralwound UF (8”x40”)</w:t>
            </w:r>
          </w:p>
        </w:tc>
        <w:tc>
          <w:tcPr>
            <w:tcW w:w="866"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0.05 µm</w:t>
            </w:r>
          </w:p>
        </w:tc>
        <w:tc>
          <w:tcPr>
            <w:tcW w:w="100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O/I</w:t>
            </w:r>
          </w:p>
        </w:tc>
        <w:tc>
          <w:tcPr>
            <w:tcW w:w="1843" w:type="dxa"/>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Chemical backwash and air scour</w:t>
            </w:r>
          </w:p>
        </w:tc>
        <w:tc>
          <w:tcPr>
            <w:tcW w:w="8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Up to 80 gfd</w:t>
            </w:r>
          </w:p>
        </w:tc>
        <w:tc>
          <w:tcPr>
            <w:tcW w:w="10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&gt;90%</w:t>
            </w:r>
          </w:p>
        </w:tc>
      </w:tr>
      <w:tr w:rsidR="0019729F" w:rsidRPr="002C797A" w:rsidTr="008F2FAE">
        <w:tc>
          <w:tcPr>
            <w:tcW w:w="166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US-Filter</w:t>
            </w:r>
          </w:p>
        </w:tc>
        <w:tc>
          <w:tcPr>
            <w:tcW w:w="1244"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Submerged and encased MF</w:t>
            </w:r>
          </w:p>
        </w:tc>
        <w:tc>
          <w:tcPr>
            <w:tcW w:w="866"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0.1 µm</w:t>
            </w:r>
          </w:p>
        </w:tc>
        <w:tc>
          <w:tcPr>
            <w:tcW w:w="100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O/I</w:t>
            </w:r>
          </w:p>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DE</w:t>
            </w:r>
          </w:p>
        </w:tc>
        <w:tc>
          <w:tcPr>
            <w:tcW w:w="1843" w:type="dxa"/>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Chemical caustic and acid air scour</w:t>
            </w:r>
          </w:p>
        </w:tc>
        <w:tc>
          <w:tcPr>
            <w:tcW w:w="8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15-40 gfd</w:t>
            </w:r>
          </w:p>
        </w:tc>
        <w:tc>
          <w:tcPr>
            <w:tcW w:w="10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90%- 98.5%</w:t>
            </w:r>
          </w:p>
        </w:tc>
      </w:tr>
      <w:tr w:rsidR="0019729F" w:rsidRPr="002C797A" w:rsidTr="008F2FAE">
        <w:tc>
          <w:tcPr>
            <w:tcW w:w="166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Hydraunatics</w:t>
            </w:r>
          </w:p>
        </w:tc>
        <w:tc>
          <w:tcPr>
            <w:tcW w:w="1244" w:type="dxa"/>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Encased UF (8”x40” or 8”x60”)</w:t>
            </w:r>
          </w:p>
        </w:tc>
        <w:tc>
          <w:tcPr>
            <w:tcW w:w="866"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150,000 daltons</w:t>
            </w:r>
          </w:p>
        </w:tc>
        <w:tc>
          <w:tcPr>
            <w:tcW w:w="100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I/O</w:t>
            </w:r>
          </w:p>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DE and CF</w:t>
            </w:r>
          </w:p>
        </w:tc>
        <w:tc>
          <w:tcPr>
            <w:tcW w:w="1843" w:type="dxa"/>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Chemical soak</w:t>
            </w:r>
          </w:p>
        </w:tc>
        <w:tc>
          <w:tcPr>
            <w:tcW w:w="8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35-85 gdf</w:t>
            </w:r>
          </w:p>
        </w:tc>
        <w:tc>
          <w:tcPr>
            <w:tcW w:w="10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95%-98%</w:t>
            </w:r>
          </w:p>
        </w:tc>
      </w:tr>
      <w:tr w:rsidR="0019729F" w:rsidRPr="002C797A" w:rsidTr="008F2FAE">
        <w:tc>
          <w:tcPr>
            <w:tcW w:w="166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Zenon</w:t>
            </w:r>
          </w:p>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Zee Weed 500</w:t>
            </w:r>
          </w:p>
        </w:tc>
        <w:tc>
          <w:tcPr>
            <w:tcW w:w="1244"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Submerged UF</w:t>
            </w:r>
          </w:p>
        </w:tc>
        <w:tc>
          <w:tcPr>
            <w:tcW w:w="866"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0.04 µm</w:t>
            </w:r>
          </w:p>
        </w:tc>
        <w:tc>
          <w:tcPr>
            <w:tcW w:w="1008"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O/I</w:t>
            </w:r>
          </w:p>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CF</w:t>
            </w:r>
          </w:p>
        </w:tc>
        <w:tc>
          <w:tcPr>
            <w:tcW w:w="1843" w:type="dxa"/>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Continuous air scour, air and water backwash</w:t>
            </w:r>
          </w:p>
        </w:tc>
        <w:tc>
          <w:tcPr>
            <w:tcW w:w="8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10-40 gfd</w:t>
            </w:r>
          </w:p>
        </w:tc>
        <w:tc>
          <w:tcPr>
            <w:tcW w:w="1050" w:type="dxa"/>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85%-99%</w:t>
            </w:r>
          </w:p>
        </w:tc>
      </w:tr>
      <w:tr w:rsidR="0019729F" w:rsidRPr="002C797A" w:rsidTr="008F2FAE">
        <w:tc>
          <w:tcPr>
            <w:tcW w:w="1668" w:type="dxa"/>
            <w:tcBorders>
              <w:bottom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Zenon</w:t>
            </w:r>
          </w:p>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Zee Weed 1000</w:t>
            </w:r>
          </w:p>
        </w:tc>
        <w:tc>
          <w:tcPr>
            <w:tcW w:w="1244" w:type="dxa"/>
            <w:tcBorders>
              <w:bottom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Submerged UF</w:t>
            </w:r>
          </w:p>
        </w:tc>
        <w:tc>
          <w:tcPr>
            <w:tcW w:w="866" w:type="dxa"/>
            <w:tcBorders>
              <w:bottom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0.04 µm</w:t>
            </w:r>
          </w:p>
        </w:tc>
        <w:tc>
          <w:tcPr>
            <w:tcW w:w="1008" w:type="dxa"/>
            <w:tcBorders>
              <w:bottom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O/I</w:t>
            </w:r>
          </w:p>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DE</w:t>
            </w:r>
          </w:p>
        </w:tc>
        <w:tc>
          <w:tcPr>
            <w:tcW w:w="1843" w:type="dxa"/>
            <w:tcBorders>
              <w:bottom w:val="single" w:sz="4" w:space="0" w:color="auto"/>
            </w:tcBorders>
            <w:shd w:val="clear" w:color="auto" w:fill="auto"/>
          </w:tcPr>
          <w:p w:rsidR="0019729F" w:rsidRPr="00AB078B" w:rsidRDefault="0019729F" w:rsidP="008F2FAE">
            <w:pPr>
              <w:spacing w:line="360" w:lineRule="auto"/>
              <w:rPr>
                <w:rFonts w:eastAsia="Calibri"/>
                <w:sz w:val="20"/>
                <w:szCs w:val="20"/>
                <w:lang w:val="id-ID"/>
              </w:rPr>
            </w:pPr>
            <w:r w:rsidRPr="00AB078B">
              <w:rPr>
                <w:rFonts w:eastAsia="Calibri"/>
                <w:sz w:val="20"/>
                <w:szCs w:val="20"/>
                <w:lang w:val="id-ID"/>
              </w:rPr>
              <w:t>Continuous air scour, air and water backwash</w:t>
            </w:r>
          </w:p>
        </w:tc>
        <w:tc>
          <w:tcPr>
            <w:tcW w:w="850" w:type="dxa"/>
            <w:tcBorders>
              <w:bottom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10-40 gfd</w:t>
            </w:r>
          </w:p>
        </w:tc>
        <w:tc>
          <w:tcPr>
            <w:tcW w:w="1050" w:type="dxa"/>
            <w:tcBorders>
              <w:bottom w:val="single" w:sz="4" w:space="0" w:color="auto"/>
            </w:tcBorders>
            <w:shd w:val="clear" w:color="auto" w:fill="auto"/>
          </w:tcPr>
          <w:p w:rsidR="0019729F" w:rsidRPr="00AB078B" w:rsidRDefault="0019729F" w:rsidP="008F2FAE">
            <w:pPr>
              <w:spacing w:line="360" w:lineRule="auto"/>
              <w:jc w:val="both"/>
              <w:rPr>
                <w:rFonts w:eastAsia="Calibri"/>
                <w:sz w:val="20"/>
                <w:szCs w:val="20"/>
                <w:lang w:val="id-ID"/>
              </w:rPr>
            </w:pPr>
            <w:r w:rsidRPr="00AB078B">
              <w:rPr>
                <w:rFonts w:eastAsia="Calibri"/>
                <w:sz w:val="20"/>
                <w:szCs w:val="20"/>
                <w:lang w:val="id-ID"/>
              </w:rPr>
              <w:t>85%-99%</w:t>
            </w:r>
          </w:p>
        </w:tc>
      </w:tr>
    </w:tbl>
    <w:p w:rsidR="0019729F" w:rsidRPr="00552F73" w:rsidRDefault="0019729F" w:rsidP="0019729F">
      <w:pPr>
        <w:spacing w:line="360" w:lineRule="auto"/>
        <w:ind w:firstLine="142"/>
        <w:jc w:val="both"/>
        <w:rPr>
          <w:sz w:val="20"/>
          <w:szCs w:val="20"/>
          <w:lang w:val="id-ID"/>
        </w:rPr>
      </w:pPr>
      <w:r w:rsidRPr="00552F73">
        <w:rPr>
          <w:sz w:val="20"/>
          <w:szCs w:val="20"/>
          <w:lang w:val="id-ID"/>
        </w:rPr>
        <w:t>Note: I/O – Inside-outside; O/I-Outside-inside;</w:t>
      </w:r>
      <w:r>
        <w:rPr>
          <w:sz w:val="20"/>
          <w:szCs w:val="20"/>
          <w:lang w:val="id-ID"/>
        </w:rPr>
        <w:t xml:space="preserve"> CF-C</w:t>
      </w:r>
      <w:r w:rsidRPr="00552F73">
        <w:rPr>
          <w:sz w:val="20"/>
          <w:szCs w:val="20"/>
          <w:lang w:val="id-ID"/>
        </w:rPr>
        <w:t>rossflow;</w:t>
      </w:r>
      <w:r>
        <w:rPr>
          <w:sz w:val="20"/>
          <w:szCs w:val="20"/>
          <w:lang w:val="id-ID"/>
        </w:rPr>
        <w:t xml:space="preserve"> DE-D</w:t>
      </w:r>
      <w:r w:rsidRPr="00552F73">
        <w:rPr>
          <w:sz w:val="20"/>
          <w:szCs w:val="20"/>
          <w:lang w:val="id-ID"/>
        </w:rPr>
        <w:t>ead-end</w:t>
      </w:r>
      <w:r>
        <w:rPr>
          <w:sz w:val="20"/>
          <w:szCs w:val="20"/>
          <w:lang w:val="id-ID"/>
        </w:rPr>
        <w:t>.</w:t>
      </w:r>
    </w:p>
    <w:p w:rsidR="0019729F" w:rsidRDefault="0019729F" w:rsidP="0019729F">
      <w:pPr>
        <w:autoSpaceDE w:val="0"/>
        <w:autoSpaceDN w:val="0"/>
        <w:adjustRightInd w:val="0"/>
        <w:spacing w:line="360" w:lineRule="auto"/>
        <w:ind w:firstLine="720"/>
        <w:jc w:val="both"/>
        <w:rPr>
          <w:lang w:val="id-ID"/>
        </w:rPr>
      </w:pPr>
    </w:p>
    <w:p w:rsidR="0019729F" w:rsidRDefault="0019729F" w:rsidP="0019729F">
      <w:pPr>
        <w:spacing w:line="360" w:lineRule="auto"/>
        <w:ind w:firstLine="720"/>
        <w:jc w:val="both"/>
        <w:rPr>
          <w:lang w:val="id-ID" w:eastAsia="ja-JP"/>
        </w:rPr>
      </w:pPr>
      <w:r>
        <w:rPr>
          <w:lang w:val="id-ID"/>
        </w:rPr>
        <w:t xml:space="preserve">The major task of membrane filtration engineers is to choose </w:t>
      </w:r>
      <w:r>
        <w:rPr>
          <w:rFonts w:hint="eastAsia"/>
          <w:lang w:val="id-ID" w:eastAsia="ja-JP"/>
        </w:rPr>
        <w:t>an</w:t>
      </w:r>
      <w:r>
        <w:rPr>
          <w:lang w:val="id-ID"/>
        </w:rPr>
        <w:t xml:space="preserve"> appropriate process with reduced energy consumption and specific investment cost, long service time and high availability with low maintenance cost [6</w:t>
      </w:r>
      <w:r w:rsidR="00EE0703">
        <w:rPr>
          <w:lang w:val="id-ID"/>
        </w:rPr>
        <w:t>,7</w:t>
      </w:r>
      <w:r>
        <w:rPr>
          <w:lang w:val="id-ID"/>
        </w:rPr>
        <w:t xml:space="preserve">].  The cost of producing a unit volume of product water has shown a continuous change over the last two decades. </w:t>
      </w:r>
    </w:p>
    <w:p w:rsidR="0019729F" w:rsidRPr="00552F73" w:rsidRDefault="0019729F" w:rsidP="0019729F">
      <w:pPr>
        <w:spacing w:line="360" w:lineRule="auto"/>
        <w:ind w:firstLine="720"/>
        <w:jc w:val="both"/>
        <w:rPr>
          <w:sz w:val="20"/>
          <w:szCs w:val="20"/>
          <w:lang w:val="id-ID" w:eastAsia="ja-JP"/>
        </w:rPr>
      </w:pPr>
      <w:r>
        <w:rPr>
          <w:rFonts w:hint="eastAsia"/>
          <w:lang w:val="id-ID" w:eastAsia="ja-JP"/>
        </w:rPr>
        <w:t xml:space="preserve">The objective of this study is to evaluate the cost to treat refinery wastewater based on the experimental data obtained in our laboratory using the in-house produced submerged hollow fiber membrane set-up. The evaluation was made for a small production unit of 5 </w:t>
      </w:r>
      <w:r>
        <w:rPr>
          <w:lang w:val="id-ID" w:eastAsia="ja-JP"/>
        </w:rPr>
        <w:t>G</w:t>
      </w:r>
      <w:r>
        <w:rPr>
          <w:rFonts w:hint="eastAsia"/>
          <w:lang w:val="id-ID" w:eastAsia="ja-JP"/>
        </w:rPr>
        <w:t>allon/day.</w:t>
      </w:r>
    </w:p>
    <w:p w:rsidR="00233BA9" w:rsidRDefault="0019729F" w:rsidP="0019729F">
      <w:pPr>
        <w:spacing w:line="360" w:lineRule="auto"/>
        <w:rPr>
          <w:lang w:val="id-ID"/>
        </w:rPr>
      </w:pPr>
      <w:r>
        <w:rPr>
          <w:lang w:val="id-ID"/>
        </w:rPr>
        <w:t>T</w:t>
      </w:r>
      <w:r w:rsidRPr="008B5B3B">
        <w:rPr>
          <w:lang w:val="id-ID"/>
        </w:rPr>
        <w:t>his kind of study addressed in the water purification industries to apply the system in order to simplify the operating steps thus minimize</w:t>
      </w:r>
      <w:r>
        <w:rPr>
          <w:lang w:val="id-ID"/>
        </w:rPr>
        <w:t>d the</w:t>
      </w:r>
      <w:r w:rsidRPr="008B5B3B">
        <w:rPr>
          <w:lang w:val="id-ID"/>
        </w:rPr>
        <w:t xml:space="preserve"> overall energ</w:t>
      </w:r>
      <w:r>
        <w:rPr>
          <w:lang w:val="id-ID"/>
        </w:rPr>
        <w:t>y consumption.</w:t>
      </w:r>
    </w:p>
    <w:p w:rsidR="0019729F" w:rsidRDefault="0019729F" w:rsidP="0019729F">
      <w:pPr>
        <w:spacing w:line="360" w:lineRule="auto"/>
        <w:rPr>
          <w:lang w:val="id-ID"/>
        </w:rPr>
      </w:pPr>
    </w:p>
    <w:p w:rsidR="0019729F" w:rsidRPr="008B5B3B" w:rsidRDefault="0019729F" w:rsidP="0019729F">
      <w:pPr>
        <w:pStyle w:val="ListParagraph"/>
        <w:numPr>
          <w:ilvl w:val="0"/>
          <w:numId w:val="1"/>
        </w:numPr>
        <w:autoSpaceDE w:val="0"/>
        <w:autoSpaceDN w:val="0"/>
        <w:adjustRightInd w:val="0"/>
        <w:spacing w:line="360" w:lineRule="auto"/>
        <w:jc w:val="both"/>
        <w:rPr>
          <w:rFonts w:ascii="Times New Roman" w:hAnsi="Times New Roman"/>
          <w:b/>
          <w:sz w:val="24"/>
          <w:szCs w:val="24"/>
          <w:lang w:val="id-ID"/>
        </w:rPr>
      </w:pPr>
      <w:r w:rsidRPr="008B5B3B">
        <w:rPr>
          <w:rFonts w:ascii="Times New Roman" w:hAnsi="Times New Roman"/>
          <w:b/>
          <w:sz w:val="24"/>
          <w:szCs w:val="24"/>
          <w:lang w:val="id-ID"/>
        </w:rPr>
        <w:t>Submerged membrane system for refinery wastewater treatment</w:t>
      </w:r>
    </w:p>
    <w:p w:rsidR="0019729F" w:rsidRDefault="0019729F" w:rsidP="0019729F">
      <w:pPr>
        <w:spacing w:line="360" w:lineRule="auto"/>
        <w:ind w:firstLine="720"/>
        <w:jc w:val="both"/>
        <w:rPr>
          <w:lang w:val="id-ID"/>
        </w:rPr>
      </w:pPr>
    </w:p>
    <w:p w:rsidR="0019729F" w:rsidRDefault="0019729F" w:rsidP="0019729F">
      <w:pPr>
        <w:spacing w:line="360" w:lineRule="auto"/>
        <w:ind w:firstLine="720"/>
        <w:jc w:val="both"/>
        <w:rPr>
          <w:lang w:val="id-ID"/>
        </w:rPr>
      </w:pPr>
      <w:r w:rsidRPr="00937199">
        <w:rPr>
          <w:lang w:val="id-ID"/>
        </w:rPr>
        <w:t>Submerged membrane system</w:t>
      </w:r>
      <w:r>
        <w:rPr>
          <w:lang w:val="id-ID"/>
        </w:rPr>
        <w:t xml:space="preserve"> is defined</w:t>
      </w:r>
      <w:r>
        <w:rPr>
          <w:rFonts w:hint="eastAsia"/>
          <w:lang w:val="id-ID" w:eastAsia="ja-JP"/>
        </w:rPr>
        <w:t xml:space="preserve"> as a membrene separation system</w:t>
      </w:r>
      <w:r>
        <w:rPr>
          <w:lang w:val="id-ID"/>
        </w:rPr>
        <w:t xml:space="preserve">, where the membranes are immersed in </w:t>
      </w:r>
      <w:r>
        <w:rPr>
          <w:rFonts w:hint="eastAsia"/>
          <w:lang w:val="id-ID" w:eastAsia="ja-JP"/>
        </w:rPr>
        <w:t xml:space="preserve">the feed water contained in </w:t>
      </w:r>
      <w:r>
        <w:rPr>
          <w:lang w:val="id-ID"/>
        </w:rPr>
        <w:t xml:space="preserve">an open tank. </w:t>
      </w:r>
      <w:r w:rsidRPr="00AF0488">
        <w:t xml:space="preserve">The </w:t>
      </w:r>
      <w:r>
        <w:rPr>
          <w:lang w:val="id-ID"/>
        </w:rPr>
        <w:t xml:space="preserve">modified </w:t>
      </w:r>
      <w:r w:rsidRPr="00AF0488">
        <w:t>hollow fiber membranes were prepared by dry-jet wet spinning method with the spinning dope of 19 wt</w:t>
      </w:r>
      <w:proofErr w:type="gramStart"/>
      <w:r w:rsidRPr="00AF0488">
        <w:t>.%</w:t>
      </w:r>
      <w:proofErr w:type="gramEnd"/>
      <w:r w:rsidRPr="00AF0488">
        <w:t xml:space="preserve"> PVDF in dimethylacetamide (DMAc)</w:t>
      </w:r>
      <w:r>
        <w:rPr>
          <w:lang w:val="id-ID"/>
        </w:rPr>
        <w:t>. 0.98 wt.% of t</w:t>
      </w:r>
      <w:r w:rsidRPr="00AF0488">
        <w:t>itanium dioxide (TiO</w:t>
      </w:r>
      <w:r w:rsidRPr="00AF0488">
        <w:rPr>
          <w:vertAlign w:val="subscript"/>
        </w:rPr>
        <w:t>2</w:t>
      </w:r>
      <w:r w:rsidRPr="00AF0488">
        <w:t xml:space="preserve">) and </w:t>
      </w:r>
      <w:r>
        <w:rPr>
          <w:lang w:val="id-ID"/>
        </w:rPr>
        <w:t xml:space="preserve">0.50 wt.% of </w:t>
      </w:r>
      <w:r>
        <w:t>lithium chloride (LiCl)</w:t>
      </w:r>
      <w:r>
        <w:rPr>
          <w:lang w:val="id-ID"/>
        </w:rPr>
        <w:t xml:space="preserve"> w</w:t>
      </w:r>
      <w:r>
        <w:rPr>
          <w:rFonts w:hint="eastAsia"/>
          <w:lang w:val="id-ID" w:eastAsia="ja-JP"/>
        </w:rPr>
        <w:t>ere</w:t>
      </w:r>
      <w:r>
        <w:rPr>
          <w:lang w:val="id-ID"/>
        </w:rPr>
        <w:t xml:space="preserve"> added to the spinning dope in order to improve membrane hydrophilicity, mechanical strength, pore size, and porosity [</w:t>
      </w:r>
      <w:r w:rsidR="00EE0703">
        <w:rPr>
          <w:lang w:val="id-ID"/>
        </w:rPr>
        <w:t>8-</w:t>
      </w:r>
      <w:r>
        <w:rPr>
          <w:lang w:val="id-ID"/>
        </w:rPr>
        <w:t xml:space="preserve">10]. The properties of </w:t>
      </w:r>
      <w:r>
        <w:rPr>
          <w:rFonts w:hint="eastAsia"/>
          <w:lang w:val="id-ID" w:eastAsia="ja-JP"/>
        </w:rPr>
        <w:t xml:space="preserve">the </w:t>
      </w:r>
      <w:r>
        <w:rPr>
          <w:lang w:val="id-ID"/>
        </w:rPr>
        <w:t>modified PVDF hollow fiber membrane was tabulated in Table 2.</w:t>
      </w:r>
    </w:p>
    <w:p w:rsidR="0019729F" w:rsidRDefault="0019729F" w:rsidP="0019729F">
      <w:pPr>
        <w:spacing w:line="360" w:lineRule="auto"/>
        <w:ind w:firstLine="720"/>
        <w:jc w:val="both"/>
        <w:rPr>
          <w:lang w:val="id-ID"/>
        </w:rPr>
      </w:pPr>
    </w:p>
    <w:p w:rsidR="0019729F" w:rsidRDefault="0019729F" w:rsidP="0019729F">
      <w:pPr>
        <w:spacing w:line="360" w:lineRule="auto"/>
        <w:jc w:val="center"/>
        <w:rPr>
          <w:lang w:val="id-ID" w:eastAsia="id-ID"/>
        </w:rPr>
      </w:pPr>
      <w:r w:rsidRPr="00E57A6A">
        <w:rPr>
          <w:lang w:val="id-ID" w:eastAsia="id-ID"/>
        </w:rPr>
        <w:t xml:space="preserve">Table </w:t>
      </w:r>
      <w:r>
        <w:rPr>
          <w:lang w:val="id-ID" w:eastAsia="id-ID"/>
        </w:rPr>
        <w:t xml:space="preserve">2. </w:t>
      </w:r>
      <w:r w:rsidRPr="00E57A6A">
        <w:rPr>
          <w:lang w:val="id-ID" w:eastAsia="id-ID"/>
        </w:rPr>
        <w:t xml:space="preserve">Properties of </w:t>
      </w:r>
      <w:r>
        <w:rPr>
          <w:lang w:val="id-ID" w:eastAsia="id-ID"/>
        </w:rPr>
        <w:t xml:space="preserve">modified </w:t>
      </w:r>
      <w:r w:rsidRPr="00E57A6A">
        <w:rPr>
          <w:lang w:val="id-ID" w:eastAsia="id-ID"/>
        </w:rPr>
        <w:t>PVDF hollow fiber membrane</w:t>
      </w:r>
      <w:r>
        <w:rPr>
          <w:lang w:val="id-ID" w:eastAsia="id-ID"/>
        </w:rPr>
        <w:t xml:space="preserve"> [10]</w:t>
      </w:r>
      <w:r w:rsidRPr="00E57A6A">
        <w:rPr>
          <w:lang w:val="id-ID" w:eastAsia="id-ID"/>
        </w:rPr>
        <w:t>.</w:t>
      </w:r>
    </w:p>
    <w:tbl>
      <w:tblPr>
        <w:tblpPr w:leftFromText="180" w:rightFromText="180" w:vertAnchor="text" w:horzAnchor="margin" w:tblpXSpec="center" w:tblpY="6"/>
        <w:tblW w:w="0" w:type="auto"/>
        <w:tblLook w:val="04A0"/>
      </w:tblPr>
      <w:tblGrid>
        <w:gridCol w:w="4230"/>
        <w:gridCol w:w="2250"/>
      </w:tblGrid>
      <w:tr w:rsidR="0019729F" w:rsidRPr="002C797A" w:rsidTr="008F2FAE">
        <w:tc>
          <w:tcPr>
            <w:tcW w:w="4230" w:type="dxa"/>
            <w:tcBorders>
              <w:top w:val="single" w:sz="4" w:space="0" w:color="auto"/>
              <w:bottom w:val="single" w:sz="4" w:space="0" w:color="auto"/>
            </w:tcBorders>
          </w:tcPr>
          <w:p w:rsidR="0019729F" w:rsidRPr="002C797A" w:rsidRDefault="0019729F" w:rsidP="008F2FAE">
            <w:pPr>
              <w:spacing w:line="360" w:lineRule="auto"/>
              <w:jc w:val="both"/>
              <w:rPr>
                <w:b/>
              </w:rPr>
            </w:pPr>
            <w:r w:rsidRPr="002C797A">
              <w:rPr>
                <w:b/>
                <w:sz w:val="22"/>
                <w:szCs w:val="22"/>
              </w:rPr>
              <w:t>Parameter</w:t>
            </w:r>
          </w:p>
        </w:tc>
        <w:tc>
          <w:tcPr>
            <w:tcW w:w="2250" w:type="dxa"/>
            <w:tcBorders>
              <w:top w:val="single" w:sz="4" w:space="0" w:color="auto"/>
              <w:bottom w:val="single" w:sz="4" w:space="0" w:color="auto"/>
            </w:tcBorders>
          </w:tcPr>
          <w:p w:rsidR="0019729F" w:rsidRPr="002C797A" w:rsidRDefault="0019729F" w:rsidP="008F2FAE">
            <w:pPr>
              <w:spacing w:line="360" w:lineRule="auto"/>
              <w:jc w:val="both"/>
              <w:rPr>
                <w:b/>
              </w:rPr>
            </w:pPr>
            <w:r w:rsidRPr="002C797A">
              <w:rPr>
                <w:b/>
                <w:sz w:val="22"/>
                <w:szCs w:val="22"/>
              </w:rPr>
              <w:t>Membrane</w:t>
            </w:r>
          </w:p>
        </w:tc>
      </w:tr>
      <w:tr w:rsidR="0019729F" w:rsidRPr="002C797A" w:rsidTr="008F2FAE">
        <w:tc>
          <w:tcPr>
            <w:tcW w:w="4230" w:type="dxa"/>
          </w:tcPr>
          <w:p w:rsidR="0019729F" w:rsidRPr="002C797A" w:rsidRDefault="0019729F" w:rsidP="008F2FAE">
            <w:pPr>
              <w:spacing w:line="360" w:lineRule="auto"/>
              <w:jc w:val="both"/>
            </w:pPr>
            <w:r w:rsidRPr="002C797A">
              <w:rPr>
                <w:sz w:val="22"/>
                <w:szCs w:val="22"/>
              </w:rPr>
              <w:t>Membrane material</w:t>
            </w:r>
          </w:p>
          <w:p w:rsidR="0019729F" w:rsidRPr="002C797A" w:rsidRDefault="0019729F" w:rsidP="008F2FAE">
            <w:pPr>
              <w:spacing w:line="360" w:lineRule="auto"/>
              <w:jc w:val="both"/>
            </w:pPr>
            <w:r w:rsidRPr="002C797A">
              <w:rPr>
                <w:sz w:val="22"/>
                <w:szCs w:val="22"/>
              </w:rPr>
              <w:t>Additives added</w:t>
            </w:r>
          </w:p>
        </w:tc>
        <w:tc>
          <w:tcPr>
            <w:tcW w:w="2250" w:type="dxa"/>
          </w:tcPr>
          <w:p w:rsidR="0019729F" w:rsidRPr="002C797A" w:rsidRDefault="0019729F" w:rsidP="008F2FAE">
            <w:pPr>
              <w:spacing w:line="360" w:lineRule="auto"/>
              <w:jc w:val="both"/>
            </w:pPr>
            <w:r w:rsidRPr="002C797A">
              <w:rPr>
                <w:sz w:val="22"/>
                <w:szCs w:val="22"/>
              </w:rPr>
              <w:t>PVDF</w:t>
            </w:r>
          </w:p>
          <w:p w:rsidR="0019729F" w:rsidRPr="002C797A" w:rsidRDefault="0019729F" w:rsidP="008F2FAE">
            <w:pPr>
              <w:spacing w:line="360" w:lineRule="auto"/>
              <w:jc w:val="both"/>
            </w:pPr>
            <w:r w:rsidRPr="002C797A">
              <w:rPr>
                <w:sz w:val="22"/>
                <w:szCs w:val="22"/>
              </w:rPr>
              <w:t>LiCl, TiO</w:t>
            </w:r>
            <w:r w:rsidRPr="002C797A">
              <w:rPr>
                <w:sz w:val="22"/>
                <w:szCs w:val="22"/>
                <w:vertAlign w:val="subscript"/>
              </w:rPr>
              <w:t>2</w:t>
            </w:r>
          </w:p>
        </w:tc>
      </w:tr>
      <w:tr w:rsidR="0019729F" w:rsidRPr="002C797A" w:rsidTr="008F2FAE">
        <w:tc>
          <w:tcPr>
            <w:tcW w:w="4230" w:type="dxa"/>
          </w:tcPr>
          <w:p w:rsidR="0019729F" w:rsidRPr="002C797A" w:rsidRDefault="0019729F" w:rsidP="008F2FAE">
            <w:pPr>
              <w:spacing w:line="360" w:lineRule="auto"/>
              <w:jc w:val="both"/>
            </w:pPr>
            <w:r w:rsidRPr="002C797A">
              <w:rPr>
                <w:sz w:val="22"/>
                <w:szCs w:val="22"/>
              </w:rPr>
              <w:t xml:space="preserve">Outer diameter (mm) </w:t>
            </w:r>
          </w:p>
        </w:tc>
        <w:tc>
          <w:tcPr>
            <w:tcW w:w="2250" w:type="dxa"/>
          </w:tcPr>
          <w:p w:rsidR="0019729F" w:rsidRPr="002C797A" w:rsidRDefault="0019729F" w:rsidP="008F2FAE">
            <w:pPr>
              <w:spacing w:line="360" w:lineRule="auto"/>
              <w:jc w:val="both"/>
            </w:pPr>
            <w:r w:rsidRPr="002C797A">
              <w:rPr>
                <w:sz w:val="22"/>
                <w:szCs w:val="22"/>
              </w:rPr>
              <w:t xml:space="preserve">1.1 </w:t>
            </w:r>
          </w:p>
        </w:tc>
      </w:tr>
      <w:tr w:rsidR="0019729F" w:rsidRPr="002C797A" w:rsidTr="008F2FAE">
        <w:tc>
          <w:tcPr>
            <w:tcW w:w="4230" w:type="dxa"/>
          </w:tcPr>
          <w:p w:rsidR="0019729F" w:rsidRPr="002C797A" w:rsidRDefault="0019729F" w:rsidP="008F2FAE">
            <w:pPr>
              <w:spacing w:line="360" w:lineRule="auto"/>
              <w:jc w:val="both"/>
            </w:pPr>
            <w:r w:rsidRPr="002C797A">
              <w:rPr>
                <w:sz w:val="22"/>
                <w:szCs w:val="22"/>
              </w:rPr>
              <w:t xml:space="preserve">Inner diameter (mm) </w:t>
            </w:r>
          </w:p>
        </w:tc>
        <w:tc>
          <w:tcPr>
            <w:tcW w:w="2250" w:type="dxa"/>
          </w:tcPr>
          <w:p w:rsidR="0019729F" w:rsidRPr="002C797A" w:rsidRDefault="0019729F" w:rsidP="008F2FAE">
            <w:pPr>
              <w:spacing w:line="360" w:lineRule="auto"/>
              <w:jc w:val="both"/>
            </w:pPr>
            <w:r w:rsidRPr="002C797A">
              <w:rPr>
                <w:sz w:val="22"/>
                <w:szCs w:val="22"/>
              </w:rPr>
              <w:t xml:space="preserve">0.55 </w:t>
            </w:r>
          </w:p>
        </w:tc>
      </w:tr>
      <w:tr w:rsidR="0019729F" w:rsidRPr="002C797A" w:rsidTr="008F2FAE">
        <w:tc>
          <w:tcPr>
            <w:tcW w:w="4230" w:type="dxa"/>
          </w:tcPr>
          <w:p w:rsidR="0019729F" w:rsidRPr="002C797A" w:rsidRDefault="0019729F" w:rsidP="008F2FAE">
            <w:pPr>
              <w:spacing w:line="360" w:lineRule="auto"/>
              <w:jc w:val="both"/>
            </w:pPr>
            <w:r w:rsidRPr="002C797A">
              <w:rPr>
                <w:sz w:val="22"/>
                <w:szCs w:val="22"/>
              </w:rPr>
              <w:t>Outer pore size (nm)</w:t>
            </w:r>
          </w:p>
        </w:tc>
        <w:tc>
          <w:tcPr>
            <w:tcW w:w="2250" w:type="dxa"/>
          </w:tcPr>
          <w:p w:rsidR="0019729F" w:rsidRPr="002C797A" w:rsidRDefault="0019729F" w:rsidP="008F2FAE">
            <w:pPr>
              <w:spacing w:line="360" w:lineRule="auto"/>
              <w:jc w:val="both"/>
            </w:pPr>
            <w:r w:rsidRPr="002C797A">
              <w:rPr>
                <w:sz w:val="22"/>
                <w:szCs w:val="22"/>
              </w:rPr>
              <w:t>34.05</w:t>
            </w:r>
          </w:p>
        </w:tc>
      </w:tr>
      <w:tr w:rsidR="0019729F" w:rsidRPr="002C797A" w:rsidTr="008F2FAE">
        <w:tc>
          <w:tcPr>
            <w:tcW w:w="4230" w:type="dxa"/>
          </w:tcPr>
          <w:p w:rsidR="0019729F" w:rsidRPr="002C797A" w:rsidRDefault="0019729F" w:rsidP="008F2FAE">
            <w:pPr>
              <w:spacing w:line="360" w:lineRule="auto"/>
              <w:jc w:val="both"/>
            </w:pPr>
            <w:r w:rsidRPr="002C797A">
              <w:rPr>
                <w:sz w:val="22"/>
                <w:szCs w:val="22"/>
              </w:rPr>
              <w:t>Nodule size (S.D.) (nm)</w:t>
            </w:r>
          </w:p>
        </w:tc>
        <w:tc>
          <w:tcPr>
            <w:tcW w:w="2250" w:type="dxa"/>
          </w:tcPr>
          <w:p w:rsidR="0019729F" w:rsidRPr="002C797A" w:rsidRDefault="0019729F" w:rsidP="008F2FAE">
            <w:pPr>
              <w:spacing w:line="360" w:lineRule="auto"/>
              <w:jc w:val="both"/>
            </w:pPr>
            <w:r w:rsidRPr="002C797A">
              <w:rPr>
                <w:sz w:val="22"/>
                <w:szCs w:val="22"/>
              </w:rPr>
              <w:t>66.57 (±1.31)</w:t>
            </w:r>
          </w:p>
        </w:tc>
      </w:tr>
      <w:tr w:rsidR="0019729F" w:rsidRPr="002C797A" w:rsidTr="008F2FAE">
        <w:tc>
          <w:tcPr>
            <w:tcW w:w="4230" w:type="dxa"/>
          </w:tcPr>
          <w:p w:rsidR="0019729F" w:rsidRPr="002C797A" w:rsidRDefault="0019729F" w:rsidP="008F2FAE">
            <w:pPr>
              <w:spacing w:line="360" w:lineRule="auto"/>
              <w:jc w:val="both"/>
            </w:pPr>
            <w:r w:rsidRPr="002C797A">
              <w:rPr>
                <w:sz w:val="22"/>
                <w:szCs w:val="22"/>
              </w:rPr>
              <w:t>Contact angle (</w:t>
            </w:r>
            <w:r w:rsidRPr="002C797A">
              <w:rPr>
                <w:sz w:val="22"/>
                <w:szCs w:val="22"/>
                <w:vertAlign w:val="superscript"/>
              </w:rPr>
              <w:t>o</w:t>
            </w:r>
            <w:r w:rsidRPr="002C797A">
              <w:rPr>
                <w:sz w:val="22"/>
                <w:szCs w:val="22"/>
              </w:rPr>
              <w:t>)</w:t>
            </w:r>
          </w:p>
        </w:tc>
        <w:tc>
          <w:tcPr>
            <w:tcW w:w="2250" w:type="dxa"/>
          </w:tcPr>
          <w:p w:rsidR="0019729F" w:rsidRPr="002C797A" w:rsidRDefault="0019729F" w:rsidP="008F2FAE">
            <w:pPr>
              <w:spacing w:line="360" w:lineRule="auto"/>
              <w:jc w:val="both"/>
            </w:pPr>
            <w:r w:rsidRPr="002C797A">
              <w:rPr>
                <w:sz w:val="22"/>
                <w:szCs w:val="22"/>
              </w:rPr>
              <w:t>54 (±0.93)</w:t>
            </w:r>
          </w:p>
        </w:tc>
      </w:tr>
      <w:tr w:rsidR="0019729F" w:rsidRPr="002C797A" w:rsidTr="008F2FAE">
        <w:tc>
          <w:tcPr>
            <w:tcW w:w="4230" w:type="dxa"/>
          </w:tcPr>
          <w:p w:rsidR="0019729F" w:rsidRPr="002C797A" w:rsidRDefault="0019729F" w:rsidP="008F2FAE">
            <w:pPr>
              <w:spacing w:line="360" w:lineRule="auto"/>
              <w:jc w:val="both"/>
            </w:pPr>
            <w:r w:rsidRPr="002C797A">
              <w:rPr>
                <w:sz w:val="22"/>
                <w:szCs w:val="22"/>
              </w:rPr>
              <w:t>Tensile strength (MPa)</w:t>
            </w:r>
          </w:p>
        </w:tc>
        <w:tc>
          <w:tcPr>
            <w:tcW w:w="2250" w:type="dxa"/>
          </w:tcPr>
          <w:p w:rsidR="0019729F" w:rsidRPr="002C797A" w:rsidRDefault="0019729F" w:rsidP="008F2FAE">
            <w:pPr>
              <w:spacing w:line="360" w:lineRule="auto"/>
              <w:jc w:val="both"/>
              <w:rPr>
                <w:lang w:val="id-ID"/>
              </w:rPr>
            </w:pPr>
            <w:r w:rsidRPr="002C797A">
              <w:rPr>
                <w:bCs/>
                <w:sz w:val="22"/>
                <w:szCs w:val="22"/>
              </w:rPr>
              <w:t xml:space="preserve">3.37 </w:t>
            </w:r>
            <w:r w:rsidRPr="002C797A">
              <w:rPr>
                <w:bCs/>
                <w:sz w:val="22"/>
                <w:szCs w:val="22"/>
                <w:lang w:val="id-ID"/>
              </w:rPr>
              <w:t>(</w:t>
            </w:r>
            <w:r w:rsidRPr="002C797A">
              <w:rPr>
                <w:bCs/>
                <w:sz w:val="22"/>
                <w:szCs w:val="22"/>
              </w:rPr>
              <w:t xml:space="preserve"> ±0.13</w:t>
            </w:r>
            <w:r w:rsidRPr="002C797A">
              <w:rPr>
                <w:bCs/>
                <w:sz w:val="22"/>
                <w:szCs w:val="22"/>
                <w:lang w:val="id-ID"/>
              </w:rPr>
              <w:t>)</w:t>
            </w:r>
          </w:p>
        </w:tc>
      </w:tr>
    </w:tbl>
    <w:p w:rsidR="0019729F" w:rsidRPr="00AF0488" w:rsidRDefault="0019729F" w:rsidP="0019729F">
      <w:pPr>
        <w:spacing w:line="360" w:lineRule="auto"/>
        <w:ind w:firstLine="720"/>
        <w:jc w:val="center"/>
      </w:pPr>
    </w:p>
    <w:p w:rsidR="0019729F" w:rsidRDefault="0019729F" w:rsidP="0019729F">
      <w:pPr>
        <w:spacing w:line="360" w:lineRule="auto"/>
        <w:ind w:firstLine="720"/>
        <w:jc w:val="both"/>
        <w:rPr>
          <w:sz w:val="20"/>
          <w:szCs w:val="20"/>
        </w:rPr>
      </w:pPr>
    </w:p>
    <w:p w:rsidR="0019729F" w:rsidRPr="00E57A6A" w:rsidRDefault="0019729F" w:rsidP="0019729F">
      <w:pPr>
        <w:spacing w:line="360" w:lineRule="auto"/>
        <w:jc w:val="center"/>
        <w:rPr>
          <w:lang w:val="id-ID" w:eastAsia="id-ID"/>
        </w:rPr>
      </w:pPr>
    </w:p>
    <w:p w:rsidR="0019729F" w:rsidRPr="00D85339" w:rsidRDefault="0019729F" w:rsidP="0019729F">
      <w:pPr>
        <w:spacing w:line="360" w:lineRule="auto"/>
        <w:ind w:firstLine="720"/>
        <w:jc w:val="both"/>
        <w:rPr>
          <w:lang w:val="id-ID"/>
        </w:rPr>
      </w:pPr>
    </w:p>
    <w:p w:rsidR="0019729F" w:rsidRDefault="0019729F" w:rsidP="0019729F">
      <w:pPr>
        <w:spacing w:line="360" w:lineRule="auto"/>
        <w:ind w:left="360"/>
        <w:jc w:val="both"/>
        <w:rPr>
          <w:b/>
          <w:lang w:val="id-ID"/>
        </w:rPr>
      </w:pPr>
    </w:p>
    <w:p w:rsidR="0019729F" w:rsidRDefault="0019729F" w:rsidP="0019729F">
      <w:pPr>
        <w:spacing w:line="360" w:lineRule="auto"/>
        <w:ind w:left="360"/>
        <w:jc w:val="both"/>
        <w:rPr>
          <w:b/>
          <w:lang w:val="id-ID"/>
        </w:rPr>
      </w:pPr>
    </w:p>
    <w:p w:rsidR="0019729F" w:rsidRDefault="0019729F" w:rsidP="0019729F">
      <w:pPr>
        <w:spacing w:line="360" w:lineRule="auto"/>
        <w:ind w:left="360"/>
        <w:jc w:val="both"/>
        <w:rPr>
          <w:b/>
          <w:lang w:val="id-ID"/>
        </w:rPr>
      </w:pPr>
    </w:p>
    <w:p w:rsidR="0019729F" w:rsidRPr="00DC28A7" w:rsidRDefault="0019729F" w:rsidP="0019729F">
      <w:pPr>
        <w:spacing w:line="360" w:lineRule="auto"/>
        <w:ind w:firstLine="720"/>
        <w:jc w:val="both"/>
        <w:rPr>
          <w:lang w:val="id-ID" w:eastAsia="ja-JP"/>
        </w:rPr>
      </w:pPr>
      <w:r>
        <w:rPr>
          <w:lang w:val="id-ID"/>
        </w:rPr>
        <w:t xml:space="preserve">The 60 pieces of hollow fiber membranes </w:t>
      </w:r>
      <w:r>
        <w:rPr>
          <w:rFonts w:hint="eastAsia"/>
          <w:lang w:val="id-ID" w:eastAsia="ja-JP"/>
        </w:rPr>
        <w:t>were</w:t>
      </w:r>
      <w:r>
        <w:rPr>
          <w:lang w:val="id-ID"/>
        </w:rPr>
        <w:t xml:space="preserve"> </w:t>
      </w:r>
      <w:r>
        <w:rPr>
          <w:rFonts w:hint="eastAsia"/>
          <w:lang w:val="id-ID" w:eastAsia="ja-JP"/>
        </w:rPr>
        <w:t>assembl</w:t>
      </w:r>
      <w:r>
        <w:rPr>
          <w:lang w:val="id-ID" w:eastAsia="ja-JP"/>
        </w:rPr>
        <w:t>ied</w:t>
      </w:r>
      <w:r>
        <w:rPr>
          <w:lang w:val="id-ID"/>
        </w:rPr>
        <w:t xml:space="preserve"> </w:t>
      </w:r>
      <w:r>
        <w:rPr>
          <w:rFonts w:hint="eastAsia"/>
          <w:lang w:val="id-ID" w:eastAsia="ja-JP"/>
        </w:rPr>
        <w:t>to form</w:t>
      </w:r>
      <w:r>
        <w:rPr>
          <w:lang w:val="id-ID"/>
        </w:rPr>
        <w:t xml:space="preserve"> a bundle</w:t>
      </w:r>
      <w:r>
        <w:rPr>
          <w:rFonts w:hint="eastAsia"/>
          <w:lang w:val="id-ID" w:eastAsia="ja-JP"/>
        </w:rPr>
        <w:t xml:space="preserve"> with an effective hollow fiber length of </w:t>
      </w:r>
      <w:r>
        <w:rPr>
          <w:lang w:val="id-ID" w:eastAsia="ja-JP"/>
        </w:rPr>
        <w:t>50</w:t>
      </w:r>
      <w:r>
        <w:rPr>
          <w:rFonts w:hint="eastAsia"/>
          <w:lang w:val="id-ID" w:eastAsia="ja-JP"/>
        </w:rPr>
        <w:t xml:space="preserve"> cm.  </w:t>
      </w:r>
      <w:r>
        <w:rPr>
          <w:lang w:val="id-ID"/>
        </w:rPr>
        <w:t xml:space="preserve"> Two bundles of fibers </w:t>
      </w:r>
      <w:r>
        <w:rPr>
          <w:rFonts w:hint="eastAsia"/>
          <w:lang w:val="id-ID" w:eastAsia="ja-JP"/>
        </w:rPr>
        <w:t>were</w:t>
      </w:r>
      <w:r>
        <w:rPr>
          <w:lang w:val="id-ID"/>
        </w:rPr>
        <w:t xml:space="preserve"> submerged in the</w:t>
      </w:r>
      <w:r>
        <w:rPr>
          <w:rFonts w:hint="eastAsia"/>
          <w:lang w:val="id-ID" w:eastAsia="ja-JP"/>
        </w:rPr>
        <w:t xml:space="preserve"> feed</w:t>
      </w:r>
      <w:r>
        <w:rPr>
          <w:lang w:val="id-ID"/>
        </w:rPr>
        <w:t xml:space="preserve"> reservoir</w:t>
      </w:r>
      <w:r>
        <w:rPr>
          <w:rFonts w:hint="eastAsia"/>
          <w:lang w:val="id-ID" w:eastAsia="ja-JP"/>
        </w:rPr>
        <w:t>, where the fibers were allowed to be shaken by the air bubbles during the operation to dislodge the foulants deposited on the hollow fiber surface.</w:t>
      </w:r>
      <w:r>
        <w:rPr>
          <w:lang w:val="id-ID"/>
        </w:rPr>
        <w:t xml:space="preserve">. </w:t>
      </w:r>
      <w:r w:rsidRPr="007C6B70">
        <w:t xml:space="preserve">The filtration experiments were carried out in </w:t>
      </w:r>
      <w:r>
        <w:rPr>
          <w:rFonts w:hint="eastAsia"/>
          <w:lang w:eastAsia="ja-JP"/>
        </w:rPr>
        <w:t xml:space="preserve">a </w:t>
      </w:r>
      <w:r w:rsidRPr="007C6B70">
        <w:t xml:space="preserve">vacuum pressure mode (0.5 bars absolute) </w:t>
      </w:r>
      <w:r>
        <w:rPr>
          <w:lang w:val="id-ID"/>
        </w:rPr>
        <w:t>and</w:t>
      </w:r>
      <w:r w:rsidRPr="007C6B70">
        <w:t xml:space="preserve"> </w:t>
      </w:r>
      <w:proofErr w:type="gramStart"/>
      <w:r>
        <w:rPr>
          <w:rFonts w:hint="eastAsia"/>
          <w:lang w:eastAsia="ja-JP"/>
        </w:rPr>
        <w:t xml:space="preserve">the </w:t>
      </w:r>
      <w:r w:rsidRPr="007C6B70">
        <w:t>permeate</w:t>
      </w:r>
      <w:proofErr w:type="gramEnd"/>
      <w:r w:rsidRPr="007C6B70">
        <w:t xml:space="preserve"> </w:t>
      </w:r>
      <w:r>
        <w:rPr>
          <w:lang w:val="id-ID"/>
        </w:rPr>
        <w:t xml:space="preserve">was </w:t>
      </w:r>
      <w:r w:rsidRPr="007C6B70">
        <w:t xml:space="preserve">withdrawn from the open end of fibers. The liquid level </w:t>
      </w:r>
      <w:r>
        <w:rPr>
          <w:lang w:val="id-ID"/>
        </w:rPr>
        <w:t xml:space="preserve">of 40 cm </w:t>
      </w:r>
      <w:r w:rsidRPr="007C6B70">
        <w:t xml:space="preserve">in the feed tank was maintained constant </w:t>
      </w:r>
      <w:r>
        <w:t xml:space="preserve">throughout </w:t>
      </w:r>
      <w:r>
        <w:rPr>
          <w:rFonts w:hint="eastAsia"/>
          <w:lang w:eastAsia="ja-JP"/>
        </w:rPr>
        <w:t xml:space="preserve">the </w:t>
      </w:r>
      <w:r>
        <w:t>experiment</w:t>
      </w:r>
      <w:r w:rsidRPr="007C6B70">
        <w:t xml:space="preserve">. </w:t>
      </w:r>
      <w:r>
        <w:rPr>
          <w:lang w:val="id-ID"/>
        </w:rPr>
        <w:t xml:space="preserve">The </w:t>
      </w:r>
      <w:r>
        <w:t>air scouring bubble</w:t>
      </w:r>
      <w:r>
        <w:rPr>
          <w:rFonts w:hint="eastAsia"/>
          <w:lang w:eastAsia="ja-JP"/>
        </w:rPr>
        <w:t>s</w:t>
      </w:r>
      <w:r>
        <w:rPr>
          <w:lang w:val="id-ID" w:eastAsia="ja-JP"/>
        </w:rPr>
        <w:t xml:space="preserve"> </w:t>
      </w:r>
      <w:r>
        <w:rPr>
          <w:rFonts w:hint="eastAsia"/>
          <w:lang w:eastAsia="ja-JP"/>
        </w:rPr>
        <w:t xml:space="preserve">also </w:t>
      </w:r>
      <w:r>
        <w:t>exert</w:t>
      </w:r>
      <w:r>
        <w:rPr>
          <w:rFonts w:hint="eastAsia"/>
          <w:lang w:eastAsia="ja-JP"/>
        </w:rPr>
        <w:t>ed</w:t>
      </w:r>
      <w:r>
        <w:t xml:space="preserve"> shear stress </w:t>
      </w:r>
      <w:r>
        <w:rPr>
          <w:rFonts w:hint="eastAsia"/>
          <w:lang w:eastAsia="ja-JP"/>
        </w:rPr>
        <w:t xml:space="preserve">upon the membrane surface </w:t>
      </w:r>
      <w:r>
        <w:t xml:space="preserve">to minimize </w:t>
      </w:r>
      <w:r>
        <w:rPr>
          <w:rFonts w:hint="eastAsia"/>
          <w:lang w:eastAsia="ja-JP"/>
        </w:rPr>
        <w:t xml:space="preserve">the </w:t>
      </w:r>
      <w:r>
        <w:t>particle deposit</w:t>
      </w:r>
      <w:r>
        <w:rPr>
          <w:rFonts w:hint="eastAsia"/>
          <w:lang w:eastAsia="ja-JP"/>
        </w:rPr>
        <w:t>ion.</w:t>
      </w:r>
    </w:p>
    <w:p w:rsidR="0019729F" w:rsidRDefault="0019729F" w:rsidP="0019729F">
      <w:pPr>
        <w:spacing w:line="360" w:lineRule="auto"/>
        <w:ind w:firstLine="720"/>
        <w:jc w:val="both"/>
        <w:rPr>
          <w:lang w:val="id-ID"/>
        </w:rPr>
      </w:pPr>
    </w:p>
    <w:p w:rsidR="0019729F" w:rsidRPr="00D85339" w:rsidRDefault="0019729F" w:rsidP="0019729F">
      <w:pPr>
        <w:spacing w:line="360" w:lineRule="auto"/>
        <w:ind w:firstLine="720"/>
        <w:jc w:val="both"/>
        <w:rPr>
          <w:lang w:val="id-ID"/>
        </w:rPr>
      </w:pPr>
      <w:r>
        <w:t xml:space="preserve">The experimental set-up </w:t>
      </w:r>
      <w:r w:rsidRPr="00AF0488">
        <w:t>shown in Fig</w:t>
      </w:r>
      <w:r>
        <w:rPr>
          <w:lang w:val="id-ID"/>
        </w:rPr>
        <w:t>.</w:t>
      </w:r>
      <w:r>
        <w:t xml:space="preserve"> </w:t>
      </w:r>
      <w:r w:rsidRPr="00AF0488">
        <w:t xml:space="preserve">1 </w:t>
      </w:r>
      <w:r>
        <w:rPr>
          <w:rFonts w:hint="eastAsia"/>
          <w:lang w:eastAsia="ja-JP"/>
        </w:rPr>
        <w:t>was</w:t>
      </w:r>
      <w:r w:rsidRPr="00AF0488">
        <w:t xml:space="preserve"> used in this </w:t>
      </w:r>
      <w:r>
        <w:rPr>
          <w:lang w:val="id-ID"/>
        </w:rPr>
        <w:t>study</w:t>
      </w:r>
      <w:r w:rsidRPr="00AF0488">
        <w:t xml:space="preserve">. It was comprised of two main parts: the pretreatment </w:t>
      </w:r>
      <w:r>
        <w:rPr>
          <w:lang w:val="id-ID"/>
        </w:rPr>
        <w:t>tank</w:t>
      </w:r>
      <w:r w:rsidRPr="00AF0488">
        <w:t xml:space="preserve"> and the membrane separation unit equipped with a fiber </w:t>
      </w:r>
      <w:r w:rsidRPr="00AF0488">
        <w:lastRenderedPageBreak/>
        <w:t xml:space="preserve">glass tank. The </w:t>
      </w:r>
      <w:r>
        <w:t xml:space="preserve">membrane </w:t>
      </w:r>
      <w:r>
        <w:rPr>
          <w:lang w:val="id-ID"/>
        </w:rPr>
        <w:t>filtrat</w:t>
      </w:r>
      <w:r w:rsidRPr="00AF0488">
        <w:t xml:space="preserve">ion unit consisted of a feed reservoir of 14 L, two hollow fiber bundles, a peristaltic pump, a permeate </w:t>
      </w:r>
      <w:r>
        <w:t xml:space="preserve">flowmeter, </w:t>
      </w:r>
      <w:r>
        <w:rPr>
          <w:lang w:val="id-ID"/>
        </w:rPr>
        <w:t xml:space="preserve">a recycle pump </w:t>
      </w:r>
      <w:r>
        <w:t>and an effluent tank</w:t>
      </w:r>
      <w:r>
        <w:rPr>
          <w:lang w:val="id-ID"/>
        </w:rPr>
        <w:t xml:space="preserve">. </w:t>
      </w:r>
    </w:p>
    <w:p w:rsidR="0019729F" w:rsidRPr="00630B98" w:rsidRDefault="0019729F" w:rsidP="0019729F">
      <w:pPr>
        <w:spacing w:line="360" w:lineRule="auto"/>
        <w:ind w:firstLine="720"/>
        <w:jc w:val="both"/>
        <w:rPr>
          <w:lang w:val="id-ID"/>
        </w:rPr>
      </w:pPr>
    </w:p>
    <w:p w:rsidR="0019729F" w:rsidRPr="00D85339" w:rsidRDefault="0019729F" w:rsidP="0019729F">
      <w:pPr>
        <w:tabs>
          <w:tab w:val="left" w:pos="5872"/>
        </w:tabs>
        <w:spacing w:after="200" w:line="360" w:lineRule="auto"/>
        <w:jc w:val="center"/>
        <w:rPr>
          <w:lang w:val="id-ID" w:eastAsia="id-ID"/>
        </w:rPr>
      </w:pPr>
      <w:r>
        <w:rPr>
          <w:rFonts w:ascii="Calibri" w:hAnsi="Calibri"/>
          <w:noProof/>
          <w:sz w:val="22"/>
          <w:szCs w:val="22"/>
          <w:lang w:val="id-ID" w:eastAsia="id-ID"/>
        </w:rPr>
        <w:drawing>
          <wp:inline distT="0" distB="0" distL="0" distR="0">
            <wp:extent cx="3325091" cy="1907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4907" cy="1907105"/>
                    </a:xfrm>
                    <a:prstGeom prst="rect">
                      <a:avLst/>
                    </a:prstGeom>
                    <a:noFill/>
                    <a:ln w="9525">
                      <a:noFill/>
                      <a:miter lim="800000"/>
                      <a:headEnd/>
                      <a:tailEnd/>
                    </a:ln>
                  </pic:spPr>
                </pic:pic>
              </a:graphicData>
            </a:graphic>
          </wp:inline>
        </w:drawing>
      </w:r>
    </w:p>
    <w:p w:rsidR="0019729F" w:rsidRDefault="0019729F" w:rsidP="0019729F">
      <w:pPr>
        <w:ind w:left="1440" w:hanging="1440"/>
        <w:jc w:val="both"/>
        <w:rPr>
          <w:lang w:val="id-ID" w:eastAsia="id-ID"/>
        </w:rPr>
      </w:pPr>
      <w:r>
        <w:rPr>
          <w:lang w:val="id-ID" w:eastAsia="id-ID"/>
        </w:rPr>
        <w:t xml:space="preserve">        Fig.</w:t>
      </w:r>
      <w:r w:rsidRPr="00D85339">
        <w:rPr>
          <w:lang w:val="id-ID" w:eastAsia="id-ID"/>
        </w:rPr>
        <w:t xml:space="preserve"> 1.</w:t>
      </w:r>
      <w:r>
        <w:rPr>
          <w:lang w:val="id-ID" w:eastAsia="id-ID"/>
        </w:rPr>
        <w:t xml:space="preserve"> </w:t>
      </w:r>
      <w:bookmarkStart w:id="0" w:name="OLE_LINK1"/>
      <w:r>
        <w:rPr>
          <w:lang w:val="id-ID" w:eastAsia="id-ID"/>
        </w:rPr>
        <w:tab/>
      </w:r>
      <w:r w:rsidRPr="00D85339">
        <w:rPr>
          <w:lang w:val="id-ID" w:eastAsia="id-ID"/>
        </w:rPr>
        <w:t xml:space="preserve">Scheme of the submerged membrane ultrafiltration </w:t>
      </w:r>
      <w:bookmarkEnd w:id="0"/>
      <w:r w:rsidRPr="00D85339">
        <w:rPr>
          <w:lang w:val="id-ID" w:eastAsia="id-ID"/>
        </w:rPr>
        <w:t>(V</w:t>
      </w:r>
      <w:r w:rsidRPr="00D85339">
        <w:rPr>
          <w:vertAlign w:val="subscript"/>
          <w:lang w:val="id-ID" w:eastAsia="id-ID"/>
        </w:rPr>
        <w:t>1</w:t>
      </w:r>
      <w:r w:rsidRPr="00D85339">
        <w:rPr>
          <w:lang w:val="id-ID" w:eastAsia="id-ID"/>
        </w:rPr>
        <w:t>: wastewater valve, T</w:t>
      </w:r>
      <w:r w:rsidRPr="00D85339">
        <w:rPr>
          <w:vertAlign w:val="subscript"/>
          <w:lang w:val="id-ID" w:eastAsia="id-ID"/>
        </w:rPr>
        <w:t>1</w:t>
      </w:r>
      <w:r w:rsidRPr="00D85339">
        <w:rPr>
          <w:lang w:val="id-ID" w:eastAsia="id-ID"/>
        </w:rPr>
        <w:t>: pretreatment tank, V</w:t>
      </w:r>
      <w:r w:rsidRPr="00D85339">
        <w:rPr>
          <w:vertAlign w:val="subscript"/>
          <w:lang w:val="id-ID" w:eastAsia="id-ID"/>
        </w:rPr>
        <w:t>2</w:t>
      </w:r>
      <w:r w:rsidRPr="00D85339">
        <w:rPr>
          <w:lang w:val="id-ID" w:eastAsia="id-ID"/>
        </w:rPr>
        <w:t>:feed membrane reservoir valve, S: sparger, M: membrane module, T</w:t>
      </w:r>
      <w:r w:rsidRPr="00D85339">
        <w:rPr>
          <w:vertAlign w:val="subscript"/>
          <w:lang w:val="id-ID" w:eastAsia="id-ID"/>
        </w:rPr>
        <w:t>2</w:t>
      </w:r>
      <w:r w:rsidRPr="00D85339">
        <w:rPr>
          <w:lang w:val="id-ID" w:eastAsia="id-ID"/>
        </w:rPr>
        <w:t>: feed reservoir, T</w:t>
      </w:r>
      <w:r w:rsidRPr="00D85339">
        <w:rPr>
          <w:vertAlign w:val="subscript"/>
          <w:lang w:val="id-ID" w:eastAsia="id-ID"/>
        </w:rPr>
        <w:t>3</w:t>
      </w:r>
      <w:r w:rsidRPr="00D85339">
        <w:rPr>
          <w:lang w:val="id-ID" w:eastAsia="id-ID"/>
        </w:rPr>
        <w:t>: effluent tank,</w:t>
      </w:r>
      <w:r w:rsidRPr="00D85339">
        <w:rPr>
          <w:b/>
          <w:lang w:val="id-ID" w:eastAsia="id-ID"/>
        </w:rPr>
        <w:t xml:space="preserve"> </w:t>
      </w:r>
      <w:r w:rsidRPr="00D85339">
        <w:rPr>
          <w:lang w:val="id-ID" w:eastAsia="id-ID"/>
        </w:rPr>
        <w:t>P</w:t>
      </w:r>
      <w:r w:rsidRPr="00D85339">
        <w:rPr>
          <w:vertAlign w:val="subscript"/>
          <w:lang w:val="id-ID" w:eastAsia="id-ID"/>
        </w:rPr>
        <w:t>1</w:t>
      </w:r>
      <w:r w:rsidRPr="00D85339">
        <w:rPr>
          <w:lang w:val="id-ID" w:eastAsia="id-ID"/>
        </w:rPr>
        <w:t>: peristaltic pump, P</w:t>
      </w:r>
      <w:r w:rsidRPr="00D85339">
        <w:rPr>
          <w:vertAlign w:val="subscript"/>
          <w:lang w:val="id-ID" w:eastAsia="id-ID"/>
        </w:rPr>
        <w:t>2</w:t>
      </w:r>
      <w:r w:rsidRPr="00D85339">
        <w:rPr>
          <w:lang w:val="id-ID" w:eastAsia="id-ID"/>
        </w:rPr>
        <w:t>: centrifugal pump, P</w:t>
      </w:r>
      <w:r w:rsidRPr="00D85339">
        <w:rPr>
          <w:vertAlign w:val="subscript"/>
          <w:lang w:val="id-ID" w:eastAsia="id-ID"/>
        </w:rPr>
        <w:t xml:space="preserve">3: </w:t>
      </w:r>
      <w:r w:rsidRPr="00D85339">
        <w:rPr>
          <w:lang w:val="id-ID" w:eastAsia="id-ID"/>
        </w:rPr>
        <w:t>air pump, QC: flow control, LC: liquid control, LI: level indicator, PC: pressure control</w:t>
      </w:r>
      <w:r w:rsidR="00EE0703">
        <w:rPr>
          <w:lang w:val="id-ID" w:eastAsia="id-ID"/>
        </w:rPr>
        <w:t xml:space="preserve"> [9,10]</w:t>
      </w:r>
      <w:r w:rsidRPr="00D85339">
        <w:rPr>
          <w:lang w:val="id-ID" w:eastAsia="id-ID"/>
        </w:rPr>
        <w:t>.</w:t>
      </w:r>
    </w:p>
    <w:p w:rsidR="0019729F" w:rsidRPr="00D85339" w:rsidRDefault="0019729F" w:rsidP="0019729F">
      <w:pPr>
        <w:ind w:left="1440" w:hanging="1440"/>
        <w:jc w:val="both"/>
        <w:rPr>
          <w:lang w:val="id-ID" w:eastAsia="id-ID"/>
        </w:rPr>
      </w:pPr>
    </w:p>
    <w:p w:rsidR="0019729F" w:rsidRPr="00D85339" w:rsidRDefault="0019729F" w:rsidP="0019729F">
      <w:pPr>
        <w:jc w:val="center"/>
        <w:rPr>
          <w:lang w:val="id-ID" w:eastAsia="id-ID"/>
        </w:rPr>
      </w:pPr>
    </w:p>
    <w:p w:rsidR="0019729F" w:rsidRPr="001B5ED2" w:rsidRDefault="0019729F" w:rsidP="0019729F">
      <w:pPr>
        <w:spacing w:line="360" w:lineRule="auto"/>
        <w:ind w:firstLine="720"/>
        <w:jc w:val="both"/>
      </w:pPr>
      <w:r>
        <w:rPr>
          <w:rFonts w:hint="eastAsia"/>
          <w:lang w:val="id-ID" w:eastAsia="ja-JP"/>
        </w:rPr>
        <w:t>The membrane performance was tested as follows.</w:t>
      </w:r>
      <w:r w:rsidRPr="001B5ED2">
        <w:t xml:space="preserve">Pure water permeation rate was measured after the steady state was reached, using the following equation </w:t>
      </w:r>
    </w:p>
    <w:p w:rsidR="0019729F" w:rsidRPr="001B5ED2" w:rsidRDefault="0019729F" w:rsidP="0019729F">
      <w:pPr>
        <w:spacing w:line="360" w:lineRule="auto"/>
        <w:jc w:val="both"/>
        <w:rPr>
          <w:i/>
        </w:rPr>
      </w:pPr>
      <w:r w:rsidRPr="001B5ED2">
        <w:rPr>
          <w:i/>
        </w:rPr>
        <w:tab/>
        <w:t xml:space="preserve">F = </w:t>
      </w:r>
      <w:r>
        <w:rPr>
          <w:i/>
          <w:noProof/>
          <w:position w:val="-24"/>
          <w:lang w:val="id-ID" w:eastAsia="id-ID"/>
        </w:rPr>
        <w:drawing>
          <wp:inline distT="0" distB="0" distL="0" distR="0">
            <wp:extent cx="241935" cy="385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1935" cy="385445"/>
                    </a:xfrm>
                    <a:prstGeom prst="rect">
                      <a:avLst/>
                    </a:prstGeom>
                    <a:noFill/>
                    <a:ln w="9525">
                      <a:noFill/>
                      <a:miter lim="800000"/>
                      <a:headEnd/>
                      <a:tailEnd/>
                    </a:ln>
                  </pic:spPr>
                </pic:pic>
              </a:graphicData>
            </a:graphic>
          </wp:inline>
        </w:drawing>
      </w:r>
      <w:r w:rsidRPr="001B5ED2">
        <w:rPr>
          <w:i/>
        </w:rPr>
        <w:tab/>
      </w:r>
      <w:r w:rsidRPr="001B5ED2">
        <w:rPr>
          <w:i/>
        </w:rPr>
        <w:tab/>
      </w:r>
      <w:r w:rsidRPr="001B5ED2">
        <w:rPr>
          <w:i/>
        </w:rPr>
        <w:tab/>
      </w:r>
      <w:r w:rsidRPr="001B5ED2">
        <w:rPr>
          <w:i/>
        </w:rPr>
        <w:tab/>
      </w:r>
      <w:r w:rsidRPr="001B5ED2">
        <w:rPr>
          <w:i/>
        </w:rPr>
        <w:tab/>
      </w:r>
      <w:r w:rsidRPr="001B5ED2">
        <w:rPr>
          <w:i/>
        </w:rPr>
        <w:tab/>
      </w:r>
      <w:r w:rsidRPr="001B5ED2">
        <w:rPr>
          <w:i/>
        </w:rPr>
        <w:tab/>
      </w:r>
      <w:r w:rsidRPr="001B5ED2">
        <w:rPr>
          <w:i/>
          <w:lang w:val="id-ID"/>
        </w:rPr>
        <w:tab/>
      </w:r>
      <w:r w:rsidRPr="001B5ED2">
        <w:rPr>
          <w:i/>
          <w:lang w:val="id-ID"/>
        </w:rPr>
        <w:tab/>
      </w:r>
      <w:r w:rsidRPr="001B5ED2">
        <w:t>(</w:t>
      </w:r>
      <w:r w:rsidRPr="001B5ED2">
        <w:rPr>
          <w:lang w:val="id-ID"/>
        </w:rPr>
        <w:t>1</w:t>
      </w:r>
      <w:r w:rsidRPr="001B5ED2">
        <w:t>)</w:t>
      </w:r>
    </w:p>
    <w:p w:rsidR="0019729F" w:rsidRPr="001B5ED2" w:rsidRDefault="0019729F" w:rsidP="0019729F">
      <w:pPr>
        <w:spacing w:line="360" w:lineRule="auto"/>
        <w:jc w:val="both"/>
      </w:pPr>
      <w:proofErr w:type="gramStart"/>
      <w:r w:rsidRPr="001B5ED2">
        <w:t>where</w:t>
      </w:r>
      <w:proofErr w:type="gramEnd"/>
      <w:r w:rsidRPr="001B5ED2">
        <w:t xml:space="preserve"> </w:t>
      </w:r>
      <w:r w:rsidRPr="001B5ED2">
        <w:rPr>
          <w:i/>
        </w:rPr>
        <w:t>F</w:t>
      </w:r>
      <w:r w:rsidRPr="001B5ED2">
        <w:t xml:space="preserve"> is the pure water flux (l/m</w:t>
      </w:r>
      <w:r w:rsidRPr="001B5ED2">
        <w:rPr>
          <w:vertAlign w:val="superscript"/>
        </w:rPr>
        <w:t>2</w:t>
      </w:r>
      <w:r w:rsidRPr="001B5ED2">
        <w:t xml:space="preserve"> h), </w:t>
      </w:r>
      <w:r w:rsidRPr="001B5ED2">
        <w:rPr>
          <w:i/>
        </w:rPr>
        <w:t>V</w:t>
      </w:r>
      <w:r w:rsidRPr="001B5ED2">
        <w:t xml:space="preserve"> is the permeate volume (l), </w:t>
      </w:r>
      <w:r w:rsidRPr="001B5ED2">
        <w:rPr>
          <w:i/>
        </w:rPr>
        <w:t>A</w:t>
      </w:r>
      <w:r w:rsidRPr="001B5ED2">
        <w:t xml:space="preserve"> is the membrane surface area (m</w:t>
      </w:r>
      <w:r w:rsidRPr="001B5ED2">
        <w:rPr>
          <w:vertAlign w:val="superscript"/>
        </w:rPr>
        <w:t>2</w:t>
      </w:r>
      <w:r w:rsidRPr="001B5ED2">
        <w:t xml:space="preserve">), and </w:t>
      </w:r>
      <w:r w:rsidRPr="001B5ED2">
        <w:rPr>
          <w:i/>
        </w:rPr>
        <w:t>t</w:t>
      </w:r>
      <w:r w:rsidRPr="001B5ED2">
        <w:t xml:space="preserve"> is the time (h).</w:t>
      </w:r>
    </w:p>
    <w:p w:rsidR="0019729F" w:rsidRPr="00B55310" w:rsidRDefault="0019729F" w:rsidP="0019729F">
      <w:pPr>
        <w:spacing w:after="200" w:line="360" w:lineRule="auto"/>
        <w:jc w:val="both"/>
        <w:rPr>
          <w:lang w:eastAsia="id-ID"/>
        </w:rPr>
      </w:pPr>
      <w:r>
        <w:rPr>
          <w:lang w:val="id-ID" w:eastAsia="id-ID"/>
        </w:rPr>
        <w:t>Total suspended solids (</w:t>
      </w:r>
      <w:r w:rsidRPr="00B55310">
        <w:rPr>
          <w:i/>
          <w:lang w:val="id-ID" w:eastAsia="id-ID"/>
        </w:rPr>
        <w:t>TSS</w:t>
      </w:r>
      <w:r>
        <w:rPr>
          <w:i/>
          <w:lang w:val="id-ID" w:eastAsia="id-ID"/>
        </w:rPr>
        <w:t xml:space="preserve">) </w:t>
      </w:r>
      <w:r w:rsidRPr="00B55310">
        <w:rPr>
          <w:lang w:val="id-ID" w:eastAsia="id-ID"/>
        </w:rPr>
        <w:t xml:space="preserve">concentrations </w:t>
      </w:r>
      <w:r>
        <w:rPr>
          <w:lang w:val="id-ID" w:eastAsia="id-ID"/>
        </w:rPr>
        <w:t>was</w:t>
      </w:r>
      <w:r w:rsidRPr="00B55310">
        <w:rPr>
          <w:lang w:val="id-ID" w:eastAsia="id-ID"/>
        </w:rPr>
        <w:t xml:space="preserve"> measured using a spectrophotometer (DR</w:t>
      </w:r>
      <w:r w:rsidRPr="00B55310">
        <w:rPr>
          <w:lang w:eastAsia="id-ID"/>
        </w:rPr>
        <w:t xml:space="preserve"> </w:t>
      </w:r>
      <w:r w:rsidRPr="00B55310">
        <w:rPr>
          <w:lang w:val="id-ID" w:eastAsia="id-ID"/>
        </w:rPr>
        <w:t>500</w:t>
      </w:r>
      <w:r w:rsidRPr="00B55310">
        <w:rPr>
          <w:lang w:eastAsia="id-ID"/>
        </w:rPr>
        <w:t>0</w:t>
      </w:r>
      <w:r w:rsidRPr="00B55310">
        <w:rPr>
          <w:lang w:val="id-ID" w:eastAsia="id-ID"/>
        </w:rPr>
        <w:t xml:space="preserve">, HACH) in accordance to the standard procedures of method 8006 (Photometric method). During the operation with high organic loading rates, the </w:t>
      </w:r>
      <w:r>
        <w:rPr>
          <w:rFonts w:hint="eastAsia"/>
          <w:lang w:val="id-ID" w:eastAsia="ja-JP"/>
        </w:rPr>
        <w:t>concentrations</w:t>
      </w:r>
      <w:r w:rsidRPr="00B55310">
        <w:rPr>
          <w:lang w:val="id-ID" w:eastAsia="id-ID"/>
        </w:rPr>
        <w:t xml:space="preserve"> were evaluated daily</w:t>
      </w:r>
      <w:r>
        <w:rPr>
          <w:lang w:val="id-ID" w:eastAsia="id-ID"/>
        </w:rPr>
        <w:t>.</w:t>
      </w:r>
      <w:r w:rsidRPr="00B55310">
        <w:rPr>
          <w:lang w:val="id-ID" w:eastAsia="id-ID"/>
        </w:rPr>
        <w:t xml:space="preserve"> The </w:t>
      </w:r>
      <w:r>
        <w:rPr>
          <w:lang w:val="id-ID" w:eastAsia="id-ID"/>
        </w:rPr>
        <w:t>total suspended solids (</w:t>
      </w:r>
      <w:r w:rsidRPr="00B55310">
        <w:rPr>
          <w:i/>
          <w:lang w:eastAsia="id-ID"/>
        </w:rPr>
        <w:t>T</w:t>
      </w:r>
      <w:r w:rsidRPr="00B55310">
        <w:rPr>
          <w:i/>
          <w:lang w:val="id-ID" w:eastAsia="id-ID"/>
        </w:rPr>
        <w:t>SS</w:t>
      </w:r>
      <w:r>
        <w:rPr>
          <w:i/>
          <w:lang w:val="id-ID" w:eastAsia="id-ID"/>
        </w:rPr>
        <w:t>)</w:t>
      </w:r>
      <w:r w:rsidRPr="00B55310">
        <w:rPr>
          <w:lang w:eastAsia="id-ID"/>
        </w:rPr>
        <w:t xml:space="preserve"> </w:t>
      </w:r>
      <w:r w:rsidRPr="00B55310">
        <w:rPr>
          <w:lang w:val="id-ID" w:eastAsia="id-ID"/>
        </w:rPr>
        <w:t xml:space="preserve">removal efficiencies </w:t>
      </w:r>
      <w:r>
        <w:rPr>
          <w:lang w:val="id-ID" w:eastAsia="ja-JP"/>
        </w:rPr>
        <w:t>was</w:t>
      </w:r>
      <w:r>
        <w:rPr>
          <w:rFonts w:hint="eastAsia"/>
          <w:lang w:val="id-ID" w:eastAsia="ja-JP"/>
        </w:rPr>
        <w:t xml:space="preserve"> </w:t>
      </w:r>
      <w:r w:rsidRPr="00B55310">
        <w:rPr>
          <w:lang w:val="id-ID" w:eastAsia="id-ID"/>
        </w:rPr>
        <w:t xml:space="preserve">calculated </w:t>
      </w:r>
      <w:r w:rsidRPr="00B55310">
        <w:rPr>
          <w:lang w:eastAsia="id-ID"/>
        </w:rPr>
        <w:t>by</w:t>
      </w:r>
      <w:r w:rsidRPr="00B55310">
        <w:rPr>
          <w:lang w:val="id-ID" w:eastAsia="id-ID"/>
        </w:rPr>
        <w:t xml:space="preserve"> Eq</w:t>
      </w:r>
      <w:r>
        <w:rPr>
          <w:lang w:val="id-ID" w:eastAsia="id-ID"/>
        </w:rPr>
        <w:t xml:space="preserve">. </w:t>
      </w:r>
      <w:r w:rsidRPr="00B55310">
        <w:rPr>
          <w:lang w:val="id-ID" w:eastAsia="id-ID"/>
        </w:rPr>
        <w:t>2</w:t>
      </w:r>
      <w:r>
        <w:rPr>
          <w:lang w:val="id-ID" w:eastAsia="id-ID"/>
        </w:rPr>
        <w:t>. [11],</w:t>
      </w:r>
    </w:p>
    <w:p w:rsidR="0019729F" w:rsidRDefault="0019729F" w:rsidP="0019729F">
      <w:pPr>
        <w:rPr>
          <w:lang w:val="id-ID" w:eastAsia="id-ID"/>
        </w:rPr>
      </w:pPr>
      <w:r w:rsidRPr="00B55310">
        <w:rPr>
          <w:lang w:val="id-ID" w:eastAsia="id-ID"/>
        </w:rPr>
        <w:tab/>
      </w:r>
      <w:r w:rsidRPr="00A65F1D">
        <w:rPr>
          <w:rFonts w:ascii="Calibri" w:hAnsi="Calibri"/>
          <w:i/>
          <w:sz w:val="20"/>
          <w:szCs w:val="20"/>
          <w:lang w:val="id-ID"/>
        </w:rPr>
        <w:t xml:space="preserve">TSS removal % </w:t>
      </w:r>
      <m:oMath>
        <m:r>
          <w:rPr>
            <w:rFonts w:ascii="Cambria Math" w:eastAsia="Calibri" w:hAnsi="Cambria Math"/>
            <w:sz w:val="20"/>
            <w:szCs w:val="20"/>
          </w:rPr>
          <m:t>=</m:t>
        </m:r>
        <m:f>
          <m:fPr>
            <m:ctrlPr>
              <w:rPr>
                <w:rFonts w:ascii="Cambria Math" w:eastAsia="Calibri" w:hAnsi="Cambria Math"/>
                <w:i/>
                <w:sz w:val="20"/>
                <w:szCs w:val="20"/>
              </w:rPr>
            </m:ctrlPr>
          </m:fPr>
          <m:num>
            <m:r>
              <w:rPr>
                <w:rFonts w:ascii="Cambria Math" w:eastAsia="Calibri" w:hAnsi="Cambria Math"/>
                <w:sz w:val="20"/>
                <w:szCs w:val="20"/>
              </w:rPr>
              <m:t>TS</m:t>
            </m:r>
            <m:sSub>
              <m:sSubPr>
                <m:ctrlPr>
                  <w:rPr>
                    <w:rFonts w:ascii="Cambria Math" w:eastAsia="Calibri" w:hAnsi="Cambria Math"/>
                    <w:i/>
                    <w:sz w:val="20"/>
                    <w:szCs w:val="20"/>
                  </w:rPr>
                </m:ctrlPr>
              </m:sSubPr>
              <m:e>
                <m:r>
                  <w:rPr>
                    <w:rFonts w:ascii="Cambria Math" w:eastAsia="Calibri" w:hAnsi="Cambria Math"/>
                    <w:sz w:val="20"/>
                    <w:szCs w:val="20"/>
                  </w:rPr>
                  <m:t>S</m:t>
                </m:r>
              </m:e>
              <m:sub>
                <m:r>
                  <w:rPr>
                    <w:rFonts w:ascii="Cambria Math" w:eastAsia="Calibri" w:hAnsi="Cambria Math"/>
                    <w:sz w:val="20"/>
                    <w:szCs w:val="20"/>
                  </w:rPr>
                  <m:t>0</m:t>
                </m:r>
              </m:sub>
            </m:sSub>
            <m:r>
              <w:rPr>
                <w:rFonts w:ascii="Cambria Math" w:eastAsia="Calibri" w:hAnsi="Cambria Math"/>
                <w:sz w:val="20"/>
                <w:szCs w:val="20"/>
              </w:rPr>
              <m:t>-TSS</m:t>
            </m:r>
          </m:num>
          <m:den>
            <m:sSub>
              <m:sSubPr>
                <m:ctrlPr>
                  <w:rPr>
                    <w:rFonts w:ascii="Cambria Math" w:eastAsia="Calibri" w:hAnsi="Cambria Math"/>
                    <w:i/>
                    <w:sz w:val="20"/>
                    <w:szCs w:val="20"/>
                  </w:rPr>
                </m:ctrlPr>
              </m:sSubPr>
              <m:e>
                <m:r>
                  <w:rPr>
                    <w:rFonts w:ascii="Cambria Math" w:eastAsia="Calibri" w:hAnsi="Cambria Math"/>
                    <w:sz w:val="20"/>
                    <w:szCs w:val="20"/>
                  </w:rPr>
                  <m:t>TSS</m:t>
                </m:r>
              </m:e>
              <m:sub>
                <m:r>
                  <w:rPr>
                    <w:rFonts w:ascii="Cambria Math" w:eastAsia="Calibri" w:hAnsi="Cambria Math"/>
                    <w:sz w:val="20"/>
                    <w:szCs w:val="20"/>
                  </w:rPr>
                  <m:t>0</m:t>
                </m:r>
              </m:sub>
            </m:sSub>
          </m:den>
        </m:f>
        <m:r>
          <w:rPr>
            <w:rFonts w:ascii="Cambria Math" w:eastAsia="Calibri" w:hAnsi="Cambria Math"/>
            <w:sz w:val="20"/>
            <w:szCs w:val="20"/>
          </w:rPr>
          <m:t xml:space="preserve"> ×100</m:t>
        </m:r>
      </m:oMath>
      <w:r w:rsidRPr="00AB2C7F">
        <w:rPr>
          <w:rFonts w:eastAsia="Calibri"/>
          <w:sz w:val="20"/>
          <w:szCs w:val="20"/>
          <w:lang w:val="id-ID"/>
        </w:rPr>
        <w:tab/>
      </w:r>
      <w:r w:rsidRPr="00AB2C7F">
        <w:rPr>
          <w:rFonts w:eastAsia="Calibri"/>
          <w:sz w:val="20"/>
          <w:szCs w:val="20"/>
          <w:lang w:val="id-ID"/>
        </w:rPr>
        <w:tab/>
      </w:r>
      <w:r w:rsidRPr="00B55310">
        <w:rPr>
          <w:lang w:val="id-ID" w:eastAsia="id-ID"/>
        </w:rPr>
        <w:tab/>
      </w:r>
      <w:r w:rsidRPr="00B55310">
        <w:rPr>
          <w:lang w:val="id-ID" w:eastAsia="id-ID"/>
        </w:rPr>
        <w:tab/>
      </w:r>
      <w:r w:rsidRPr="00B55310">
        <w:rPr>
          <w:lang w:val="id-ID" w:eastAsia="id-ID"/>
        </w:rPr>
        <w:tab/>
      </w:r>
      <w:r w:rsidRPr="00B55310">
        <w:rPr>
          <w:lang w:val="id-ID" w:eastAsia="id-ID"/>
        </w:rPr>
        <w:tab/>
      </w:r>
      <w:r w:rsidRPr="00B55310">
        <w:rPr>
          <w:lang w:val="id-ID" w:eastAsia="id-ID"/>
        </w:rPr>
        <w:tab/>
        <w:t>(</w:t>
      </w:r>
      <w:r w:rsidRPr="00B55310">
        <w:rPr>
          <w:lang w:eastAsia="id-ID"/>
        </w:rPr>
        <w:t>2</w:t>
      </w:r>
      <w:r w:rsidRPr="00B55310">
        <w:rPr>
          <w:lang w:val="id-ID" w:eastAsia="id-ID"/>
        </w:rPr>
        <w:t>)</w:t>
      </w:r>
    </w:p>
    <w:p w:rsidR="0019729F" w:rsidRDefault="0019729F" w:rsidP="0019729F">
      <w:pPr>
        <w:rPr>
          <w:lang w:val="id-ID" w:eastAsia="id-ID"/>
        </w:rPr>
      </w:pPr>
    </w:p>
    <w:p w:rsidR="0019729F" w:rsidRPr="0008661E" w:rsidRDefault="0019729F" w:rsidP="0019729F">
      <w:pPr>
        <w:spacing w:after="200" w:line="360" w:lineRule="auto"/>
        <w:jc w:val="both"/>
        <w:rPr>
          <w:lang w:val="id-ID" w:eastAsia="ja-JP"/>
        </w:rPr>
      </w:pPr>
      <w:r w:rsidRPr="00B55310">
        <w:rPr>
          <w:lang w:val="id-ID" w:eastAsia="id-ID"/>
        </w:rPr>
        <w:t xml:space="preserve">where </w:t>
      </w:r>
      <w:r w:rsidRPr="00B55310">
        <w:rPr>
          <w:i/>
          <w:lang w:eastAsia="id-ID"/>
        </w:rPr>
        <w:t>T</w:t>
      </w:r>
      <w:r w:rsidRPr="00B55310">
        <w:rPr>
          <w:i/>
          <w:lang w:val="id-ID" w:eastAsia="id-ID"/>
        </w:rPr>
        <w:t>SS</w:t>
      </w:r>
      <w:r w:rsidRPr="00B55310">
        <w:rPr>
          <w:i/>
          <w:vertAlign w:val="subscript"/>
          <w:lang w:val="id-ID" w:eastAsia="id-ID"/>
        </w:rPr>
        <w:t>o</w:t>
      </w:r>
      <w:r w:rsidRPr="00B55310">
        <w:rPr>
          <w:lang w:val="id-ID" w:eastAsia="id-ID"/>
        </w:rPr>
        <w:t xml:space="preserve"> and </w:t>
      </w:r>
      <w:r w:rsidRPr="00B55310">
        <w:rPr>
          <w:i/>
          <w:lang w:eastAsia="id-ID"/>
        </w:rPr>
        <w:t>T</w:t>
      </w:r>
      <w:r w:rsidRPr="00B55310">
        <w:rPr>
          <w:i/>
          <w:lang w:val="id-ID" w:eastAsia="id-ID"/>
        </w:rPr>
        <w:t xml:space="preserve">SS </w:t>
      </w:r>
      <w:r w:rsidRPr="00B55310">
        <w:rPr>
          <w:lang w:val="id-ID" w:eastAsia="id-ID"/>
        </w:rPr>
        <w:t xml:space="preserve">are the initial </w:t>
      </w:r>
      <w:r>
        <w:rPr>
          <w:rFonts w:hint="eastAsia"/>
          <w:lang w:val="id-ID" w:eastAsia="ja-JP"/>
        </w:rPr>
        <w:t xml:space="preserve">TSS </w:t>
      </w:r>
      <w:r w:rsidRPr="00B55310">
        <w:rPr>
          <w:lang w:val="id-ID" w:eastAsia="id-ID"/>
        </w:rPr>
        <w:t xml:space="preserve">concentration of </w:t>
      </w:r>
      <w:r>
        <w:rPr>
          <w:rFonts w:hint="eastAsia"/>
          <w:lang w:val="id-ID" w:eastAsia="ja-JP"/>
        </w:rPr>
        <w:t xml:space="preserve">the </w:t>
      </w:r>
      <w:r w:rsidRPr="00B55310">
        <w:rPr>
          <w:lang w:val="id-ID" w:eastAsia="id-ID"/>
        </w:rPr>
        <w:t xml:space="preserve">synthetic refinery wastewater </w:t>
      </w:r>
      <w:r>
        <w:rPr>
          <w:rFonts w:hint="eastAsia"/>
          <w:lang w:val="id-ID" w:eastAsia="ja-JP"/>
        </w:rPr>
        <w:t xml:space="preserve">in feed </w:t>
      </w:r>
      <w:r w:rsidRPr="00B55310">
        <w:rPr>
          <w:lang w:val="id-ID" w:eastAsia="id-ID"/>
        </w:rPr>
        <w:t xml:space="preserve">and the </w:t>
      </w:r>
      <w:r>
        <w:rPr>
          <w:rFonts w:hint="eastAsia"/>
          <w:lang w:val="id-ID" w:eastAsia="ja-JP"/>
        </w:rPr>
        <w:t xml:space="preserve">TSS </w:t>
      </w:r>
      <w:r w:rsidRPr="00B55310">
        <w:rPr>
          <w:lang w:val="id-ID" w:eastAsia="id-ID"/>
        </w:rPr>
        <w:t>concentration of permeate produced.</w:t>
      </w:r>
    </w:p>
    <w:p w:rsidR="0019729F" w:rsidRDefault="0019729F" w:rsidP="0019729F">
      <w:pPr>
        <w:rPr>
          <w:lang w:val="id-ID" w:eastAsia="id-ID"/>
        </w:rPr>
      </w:pPr>
      <w:r>
        <w:rPr>
          <w:lang w:val="id-ID" w:eastAsia="id-ID"/>
        </w:rPr>
        <w:tab/>
      </w:r>
    </w:p>
    <w:p w:rsidR="0019729F" w:rsidRDefault="0019729F" w:rsidP="0019729F">
      <w:pPr>
        <w:spacing w:line="360" w:lineRule="auto"/>
        <w:ind w:firstLine="720"/>
        <w:jc w:val="both"/>
        <w:rPr>
          <w:lang w:val="id-ID"/>
        </w:rPr>
      </w:pPr>
      <w:r>
        <w:rPr>
          <w:rFonts w:hint="eastAsia"/>
          <w:lang w:val="id-ID" w:eastAsia="ja-JP"/>
        </w:rPr>
        <w:lastRenderedPageBreak/>
        <w:t>At the</w:t>
      </w:r>
      <w:r>
        <w:rPr>
          <w:lang w:val="id-ID" w:eastAsia="ja-JP"/>
        </w:rPr>
        <w:t xml:space="preserve"> </w:t>
      </w:r>
      <w:r>
        <w:rPr>
          <w:lang w:val="id-ID"/>
        </w:rPr>
        <w:t xml:space="preserve">air bubble flow rate, hydraulic retention time and mixed liquor suspended solids of 2.25 ml/min, 240 min and 3 g/L, respectively, the maximum flux, TSS removal were achieved as listed in Table </w:t>
      </w:r>
      <w:r w:rsidR="00EE0703">
        <w:rPr>
          <w:lang w:val="id-ID"/>
        </w:rPr>
        <w:t>3</w:t>
      </w:r>
      <w:r>
        <w:rPr>
          <w:lang w:val="id-ID"/>
        </w:rPr>
        <w:t>.</w:t>
      </w:r>
    </w:p>
    <w:p w:rsidR="0019729F" w:rsidRDefault="0019729F" w:rsidP="0019729F">
      <w:pPr>
        <w:spacing w:line="360" w:lineRule="auto"/>
        <w:ind w:firstLine="360"/>
        <w:jc w:val="both"/>
        <w:rPr>
          <w:lang w:val="id-ID"/>
        </w:rPr>
      </w:pPr>
    </w:p>
    <w:p w:rsidR="0019729F" w:rsidRDefault="0019729F" w:rsidP="0019729F">
      <w:pPr>
        <w:spacing w:line="360" w:lineRule="auto"/>
        <w:ind w:firstLine="360"/>
        <w:jc w:val="both"/>
        <w:rPr>
          <w:lang w:val="id-ID"/>
        </w:rPr>
      </w:pPr>
      <w:r>
        <w:rPr>
          <w:lang w:val="id-ID"/>
        </w:rPr>
        <w:t xml:space="preserve">Table </w:t>
      </w:r>
      <w:r w:rsidR="00EE0703">
        <w:rPr>
          <w:lang w:val="id-ID"/>
        </w:rPr>
        <w:t>3</w:t>
      </w:r>
      <w:r>
        <w:rPr>
          <w:lang w:val="id-ID"/>
        </w:rPr>
        <w:t xml:space="preserve">. </w:t>
      </w:r>
      <w:r>
        <w:rPr>
          <w:rFonts w:hint="eastAsia"/>
          <w:lang w:val="id-ID" w:eastAsia="ja-JP"/>
        </w:rPr>
        <w:t>Optimum p</w:t>
      </w:r>
      <w:r>
        <w:rPr>
          <w:lang w:val="id-ID"/>
        </w:rPr>
        <w:t>erformance of submerged membrane UF for refinery wastewater treatment</w:t>
      </w:r>
    </w:p>
    <w:tbl>
      <w:tblPr>
        <w:tblW w:w="0" w:type="auto"/>
        <w:jc w:val="center"/>
        <w:tblInd w:w="1101" w:type="dxa"/>
        <w:tblLook w:val="04A0"/>
      </w:tblPr>
      <w:tblGrid>
        <w:gridCol w:w="3163"/>
        <w:gridCol w:w="2507"/>
      </w:tblGrid>
      <w:tr w:rsidR="0019729F" w:rsidRPr="002C797A" w:rsidTr="008F2FAE">
        <w:trPr>
          <w:jc w:val="center"/>
        </w:trPr>
        <w:tc>
          <w:tcPr>
            <w:tcW w:w="3163" w:type="dxa"/>
            <w:tcBorders>
              <w:top w:val="single" w:sz="4" w:space="0" w:color="auto"/>
              <w:bottom w:val="single" w:sz="4" w:space="0" w:color="auto"/>
            </w:tcBorders>
            <w:shd w:val="clear" w:color="auto" w:fill="auto"/>
            <w:vAlign w:val="center"/>
          </w:tcPr>
          <w:p w:rsidR="0019729F" w:rsidRPr="00AB2C7F" w:rsidRDefault="0019729F" w:rsidP="008F2FAE">
            <w:pPr>
              <w:spacing w:line="360" w:lineRule="auto"/>
              <w:jc w:val="center"/>
              <w:rPr>
                <w:rFonts w:eastAsia="Calibri"/>
                <w:sz w:val="20"/>
                <w:szCs w:val="20"/>
                <w:lang w:val="id-ID"/>
              </w:rPr>
            </w:pPr>
            <w:r w:rsidRPr="00AB2C7F">
              <w:rPr>
                <w:rFonts w:eastAsia="Calibri"/>
                <w:sz w:val="20"/>
                <w:szCs w:val="20"/>
                <w:lang w:val="id-ID"/>
              </w:rPr>
              <w:t>Parameter</w:t>
            </w:r>
          </w:p>
        </w:tc>
        <w:tc>
          <w:tcPr>
            <w:tcW w:w="2507" w:type="dxa"/>
            <w:tcBorders>
              <w:top w:val="single" w:sz="4" w:space="0" w:color="auto"/>
              <w:bottom w:val="single" w:sz="4" w:space="0" w:color="auto"/>
            </w:tcBorders>
            <w:shd w:val="clear" w:color="auto" w:fill="auto"/>
            <w:vAlign w:val="center"/>
          </w:tcPr>
          <w:p w:rsidR="0019729F" w:rsidRPr="00AB2C7F" w:rsidRDefault="0019729F" w:rsidP="008F2FAE">
            <w:pPr>
              <w:spacing w:line="360" w:lineRule="auto"/>
              <w:jc w:val="center"/>
              <w:rPr>
                <w:rFonts w:eastAsia="Calibri"/>
                <w:sz w:val="20"/>
                <w:szCs w:val="20"/>
                <w:lang w:val="id-ID"/>
              </w:rPr>
            </w:pPr>
            <w:r w:rsidRPr="00AB2C7F">
              <w:rPr>
                <w:rFonts w:eastAsia="Calibri"/>
                <w:sz w:val="20"/>
                <w:szCs w:val="20"/>
                <w:lang w:val="id-ID"/>
              </w:rPr>
              <w:t>Removal (%)</w:t>
            </w:r>
          </w:p>
        </w:tc>
      </w:tr>
      <w:tr w:rsidR="0019729F" w:rsidRPr="002C797A" w:rsidTr="008F2FAE">
        <w:trPr>
          <w:jc w:val="center"/>
        </w:trPr>
        <w:tc>
          <w:tcPr>
            <w:tcW w:w="3163" w:type="dxa"/>
            <w:tcBorders>
              <w:top w:val="single" w:sz="4" w:space="0" w:color="auto"/>
              <w:bottom w:val="single" w:sz="4" w:space="0" w:color="auto"/>
            </w:tcBorders>
            <w:shd w:val="clear" w:color="auto" w:fill="auto"/>
            <w:vAlign w:val="center"/>
          </w:tcPr>
          <w:p w:rsidR="0019729F" w:rsidRPr="00AB2C7F" w:rsidRDefault="0019729F" w:rsidP="008F2FAE">
            <w:pPr>
              <w:spacing w:line="360" w:lineRule="auto"/>
              <w:rPr>
                <w:rFonts w:eastAsia="Calibri"/>
                <w:sz w:val="20"/>
                <w:szCs w:val="20"/>
                <w:lang w:val="id-ID"/>
              </w:rPr>
            </w:pPr>
            <w:r w:rsidRPr="00AB2C7F">
              <w:rPr>
                <w:rFonts w:eastAsia="Calibri"/>
                <w:sz w:val="20"/>
                <w:szCs w:val="20"/>
                <w:lang w:val="id-ID"/>
              </w:rPr>
              <w:t>Total suspended solids (TSS)</w:t>
            </w:r>
          </w:p>
        </w:tc>
        <w:tc>
          <w:tcPr>
            <w:tcW w:w="2507" w:type="dxa"/>
            <w:tcBorders>
              <w:top w:val="single" w:sz="4" w:space="0" w:color="auto"/>
              <w:bottom w:val="single" w:sz="4" w:space="0" w:color="auto"/>
            </w:tcBorders>
            <w:shd w:val="clear" w:color="auto" w:fill="auto"/>
            <w:vAlign w:val="center"/>
          </w:tcPr>
          <w:p w:rsidR="0019729F" w:rsidRPr="00AB2C7F" w:rsidRDefault="0019729F" w:rsidP="008F2FAE">
            <w:pPr>
              <w:spacing w:line="360" w:lineRule="auto"/>
              <w:jc w:val="center"/>
              <w:rPr>
                <w:rFonts w:eastAsia="Calibri"/>
                <w:sz w:val="20"/>
                <w:szCs w:val="20"/>
                <w:lang w:val="id-ID"/>
              </w:rPr>
            </w:pPr>
            <w:r w:rsidRPr="00AB2C7F">
              <w:rPr>
                <w:rFonts w:eastAsia="Calibri"/>
                <w:sz w:val="20"/>
                <w:szCs w:val="20"/>
              </w:rPr>
              <w:t>99.63%</w:t>
            </w:r>
          </w:p>
        </w:tc>
      </w:tr>
    </w:tbl>
    <w:p w:rsidR="0019729F" w:rsidRDefault="0019729F" w:rsidP="0019729F">
      <w:pPr>
        <w:spacing w:line="360" w:lineRule="auto"/>
        <w:ind w:firstLine="360"/>
        <w:jc w:val="both"/>
        <w:rPr>
          <w:lang w:val="id-ID" w:eastAsia="id-ID"/>
        </w:rPr>
      </w:pPr>
    </w:p>
    <w:p w:rsidR="0019729F" w:rsidRDefault="0019729F" w:rsidP="0019729F">
      <w:pPr>
        <w:spacing w:line="360" w:lineRule="auto"/>
        <w:ind w:left="360"/>
        <w:jc w:val="both"/>
        <w:rPr>
          <w:b/>
          <w:lang w:val="id-ID"/>
        </w:rPr>
      </w:pPr>
    </w:p>
    <w:p w:rsidR="0019729F" w:rsidRDefault="0019729F" w:rsidP="0019729F">
      <w:pPr>
        <w:numPr>
          <w:ilvl w:val="0"/>
          <w:numId w:val="1"/>
        </w:numPr>
        <w:spacing w:line="360" w:lineRule="auto"/>
        <w:jc w:val="both"/>
        <w:rPr>
          <w:b/>
          <w:lang w:val="id-ID"/>
        </w:rPr>
      </w:pPr>
      <w:r>
        <w:rPr>
          <w:b/>
          <w:lang w:val="id-ID"/>
        </w:rPr>
        <w:t>F</w:t>
      </w:r>
      <w:r w:rsidRPr="0083242E">
        <w:rPr>
          <w:b/>
          <w:lang w:val="id-ID"/>
        </w:rPr>
        <w:t xml:space="preserve">actors affecting </w:t>
      </w:r>
      <w:r>
        <w:rPr>
          <w:b/>
          <w:lang w:val="id-ID"/>
        </w:rPr>
        <w:t xml:space="preserve">energy consumption on submerged membrane filtration </w:t>
      </w:r>
    </w:p>
    <w:p w:rsidR="0019729F" w:rsidRPr="0083242E" w:rsidRDefault="0019729F" w:rsidP="0019729F">
      <w:pPr>
        <w:spacing w:line="360" w:lineRule="auto"/>
        <w:ind w:left="360"/>
        <w:jc w:val="both"/>
        <w:rPr>
          <w:b/>
          <w:lang w:val="id-ID"/>
        </w:rPr>
      </w:pPr>
    </w:p>
    <w:p w:rsidR="0019729F" w:rsidRDefault="0019729F" w:rsidP="0019729F">
      <w:pPr>
        <w:spacing w:line="360" w:lineRule="auto"/>
        <w:ind w:firstLine="720"/>
        <w:jc w:val="both"/>
        <w:rPr>
          <w:lang w:val="id-ID"/>
        </w:rPr>
      </w:pPr>
      <w:r>
        <w:rPr>
          <w:rFonts w:hint="eastAsia"/>
          <w:lang w:val="id-ID" w:eastAsia="ja-JP"/>
        </w:rPr>
        <w:t>It should be noted that</w:t>
      </w:r>
      <w:r>
        <w:rPr>
          <w:lang w:val="id-ID"/>
        </w:rPr>
        <w:t xml:space="preserve"> </w:t>
      </w:r>
      <w:r w:rsidRPr="002C21ED">
        <w:t>increasingly reliable and greater choice of equipment, processes and expertise in membrane technology are available commercially for a range of applications, reducing unit costs by up to 30-fold since 1990.</w:t>
      </w:r>
      <w:r>
        <w:rPr>
          <w:lang w:val="id-ID"/>
        </w:rPr>
        <w:t xml:space="preserve">  Major cost variables are briefly described below [1</w:t>
      </w:r>
      <w:r w:rsidR="001F43D2">
        <w:rPr>
          <w:lang w:val="id-ID"/>
        </w:rPr>
        <w:t>2-15</w:t>
      </w:r>
      <w:r>
        <w:rPr>
          <w:lang w:val="id-ID"/>
        </w:rPr>
        <w:t>]:</w:t>
      </w:r>
    </w:p>
    <w:p w:rsidR="0019729F" w:rsidRDefault="0019729F" w:rsidP="0019729F">
      <w:pPr>
        <w:spacing w:line="360" w:lineRule="auto"/>
        <w:ind w:firstLine="720"/>
        <w:jc w:val="both"/>
        <w:rPr>
          <w:lang w:val="id-ID"/>
        </w:rPr>
      </w:pPr>
    </w:p>
    <w:p w:rsidR="0019729F" w:rsidRDefault="0019729F" w:rsidP="0019729F">
      <w:pPr>
        <w:pStyle w:val="ListParagraph"/>
        <w:numPr>
          <w:ilvl w:val="0"/>
          <w:numId w:val="2"/>
        </w:numPr>
        <w:spacing w:line="360" w:lineRule="auto"/>
        <w:jc w:val="both"/>
        <w:rPr>
          <w:rFonts w:ascii="Times New Roman" w:hAnsi="Times New Roman"/>
          <w:sz w:val="24"/>
          <w:szCs w:val="24"/>
          <w:lang w:val="id-ID"/>
        </w:rPr>
      </w:pPr>
      <w:r w:rsidRPr="00D13AE2">
        <w:rPr>
          <w:rFonts w:ascii="Times New Roman" w:hAnsi="Times New Roman"/>
          <w:sz w:val="24"/>
          <w:szCs w:val="24"/>
          <w:lang w:val="id-ID"/>
        </w:rPr>
        <w:t>Quality</w:t>
      </w:r>
      <w:r>
        <w:rPr>
          <w:rFonts w:ascii="Times New Roman" w:hAnsi="Times New Roman"/>
          <w:sz w:val="24"/>
          <w:szCs w:val="24"/>
          <w:lang w:val="id-ID"/>
        </w:rPr>
        <w:t xml:space="preserve"> of feedwater; The quality of feed</w:t>
      </w:r>
      <w:r w:rsidRPr="0041754A">
        <w:rPr>
          <w:rFonts w:ascii="Times New Roman" w:eastAsia="MS Mincho" w:hAnsi="Times New Roman" w:hint="eastAsia"/>
          <w:sz w:val="24"/>
          <w:szCs w:val="24"/>
          <w:lang w:val="id-ID" w:eastAsia="ja-JP"/>
        </w:rPr>
        <w:t xml:space="preserve"> </w:t>
      </w:r>
      <w:r>
        <w:rPr>
          <w:rFonts w:ascii="Times New Roman" w:hAnsi="Times New Roman"/>
          <w:sz w:val="24"/>
          <w:szCs w:val="24"/>
          <w:lang w:val="id-ID"/>
        </w:rPr>
        <w:t>water is a critical design factor. Low suspended solid concentration in feed</w:t>
      </w:r>
      <w:r w:rsidRPr="0041754A">
        <w:rPr>
          <w:rFonts w:ascii="Times New Roman" w:eastAsia="MS Mincho" w:hAnsi="Times New Roman" w:hint="eastAsia"/>
          <w:sz w:val="24"/>
          <w:szCs w:val="24"/>
          <w:lang w:val="id-ID" w:eastAsia="ja-JP"/>
        </w:rPr>
        <w:t xml:space="preserve"> </w:t>
      </w:r>
      <w:r>
        <w:rPr>
          <w:rFonts w:ascii="Times New Roman" w:hAnsi="Times New Roman"/>
          <w:sz w:val="24"/>
          <w:szCs w:val="24"/>
          <w:lang w:val="id-ID"/>
        </w:rPr>
        <w:t>water requires less energy for treatment compared to high</w:t>
      </w:r>
      <w:r w:rsidRPr="00EB4757">
        <w:rPr>
          <w:rFonts w:ascii="Times New Roman" w:eastAsia="MS Mincho" w:hAnsi="Times New Roman" w:hint="eastAsia"/>
          <w:sz w:val="24"/>
          <w:szCs w:val="24"/>
          <w:lang w:val="id-ID" w:eastAsia="ja-JP"/>
        </w:rPr>
        <w:t>ly</w:t>
      </w:r>
      <w:r>
        <w:rPr>
          <w:rFonts w:ascii="Times New Roman" w:hAnsi="Times New Roman"/>
          <w:sz w:val="24"/>
          <w:szCs w:val="24"/>
          <w:lang w:val="id-ID"/>
        </w:rPr>
        <w:t xml:space="preserve"> suspended solid feed</w:t>
      </w:r>
      <w:r w:rsidRPr="0041754A">
        <w:rPr>
          <w:rFonts w:ascii="Times New Roman" w:eastAsia="MS Mincho" w:hAnsi="Times New Roman" w:hint="eastAsia"/>
          <w:sz w:val="24"/>
          <w:szCs w:val="24"/>
          <w:lang w:val="id-ID" w:eastAsia="ja-JP"/>
        </w:rPr>
        <w:t xml:space="preserve"> </w:t>
      </w:r>
      <w:r>
        <w:rPr>
          <w:rFonts w:ascii="Times New Roman" w:hAnsi="Times New Roman"/>
          <w:sz w:val="24"/>
          <w:szCs w:val="24"/>
          <w:lang w:val="id-ID"/>
        </w:rPr>
        <w:t xml:space="preserve">water. </w:t>
      </w:r>
    </w:p>
    <w:p w:rsidR="0019729F" w:rsidRDefault="0019729F" w:rsidP="0019729F">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Type of membrane material and configuration; The selected membrane materials and configurations have to </w:t>
      </w:r>
      <w:r w:rsidRPr="00EB4757">
        <w:rPr>
          <w:rFonts w:ascii="Times New Roman" w:eastAsia="MS Mincho" w:hAnsi="Times New Roman" w:hint="eastAsia"/>
          <w:sz w:val="24"/>
          <w:szCs w:val="24"/>
          <w:lang w:val="id-ID" w:eastAsia="ja-JP"/>
        </w:rPr>
        <w:t xml:space="preserve">be </w:t>
      </w:r>
      <w:r>
        <w:rPr>
          <w:rFonts w:ascii="Times New Roman" w:hAnsi="Times New Roman"/>
          <w:sz w:val="24"/>
          <w:szCs w:val="24"/>
          <w:lang w:val="id-ID"/>
        </w:rPr>
        <w:t>compatible with raw water quality, pretreatment requirements, and other operating conditions.</w:t>
      </w:r>
    </w:p>
    <w:p w:rsidR="0019729F" w:rsidRDefault="0019729F" w:rsidP="0019729F">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System capacity; The system capacity is an important design factor. It affects the size of treatment units such as pumping, piping, water reservoir, water distribution system, and aeration system. </w:t>
      </w:r>
    </w:p>
    <w:p w:rsidR="0019729F" w:rsidRDefault="0019729F" w:rsidP="0019729F">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Site characteristics; Site characteristics can affect water production cost. For example, availability of land and the land condition can determine cost. The proximity of system location to water source and concentrate discharge point i</w:t>
      </w:r>
      <w:r w:rsidRPr="00EB4757">
        <w:rPr>
          <w:rFonts w:ascii="Times New Roman" w:eastAsia="MS Mincho" w:hAnsi="Times New Roman" w:hint="eastAsia"/>
          <w:sz w:val="24"/>
          <w:szCs w:val="24"/>
          <w:lang w:val="id-ID" w:eastAsia="ja-JP"/>
        </w:rPr>
        <w:t>s</w:t>
      </w:r>
      <w:r>
        <w:rPr>
          <w:rFonts w:ascii="Times New Roman" w:hAnsi="Times New Roman"/>
          <w:sz w:val="24"/>
          <w:szCs w:val="24"/>
          <w:lang w:val="id-ID"/>
        </w:rPr>
        <w:t xml:space="preserve"> another factor.</w:t>
      </w:r>
    </w:p>
    <w:p w:rsidR="0019729F" w:rsidRDefault="0019729F" w:rsidP="0019729F">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Regulatory requirements; These costs are associated with meeting local/state permits and regulatory requirements.</w:t>
      </w:r>
    </w:p>
    <w:p w:rsidR="0019729F" w:rsidRDefault="0019729F" w:rsidP="0019729F">
      <w:pPr>
        <w:pStyle w:val="ListParagraph"/>
        <w:spacing w:line="360" w:lineRule="auto"/>
        <w:ind w:left="1080"/>
        <w:jc w:val="both"/>
        <w:rPr>
          <w:rFonts w:ascii="Times New Roman" w:hAnsi="Times New Roman"/>
          <w:sz w:val="24"/>
          <w:szCs w:val="24"/>
          <w:lang w:val="id-ID"/>
        </w:rPr>
      </w:pPr>
    </w:p>
    <w:p w:rsidR="0019729F" w:rsidRDefault="001F43D2" w:rsidP="0019729F">
      <w:pPr>
        <w:numPr>
          <w:ilvl w:val="1"/>
          <w:numId w:val="1"/>
        </w:numPr>
        <w:spacing w:line="360" w:lineRule="auto"/>
        <w:jc w:val="both"/>
        <w:rPr>
          <w:i/>
          <w:lang w:val="id-ID"/>
        </w:rPr>
      </w:pPr>
      <w:r>
        <w:rPr>
          <w:i/>
          <w:lang w:val="id-ID"/>
        </w:rPr>
        <w:lastRenderedPageBreak/>
        <w:t>Energy consumption</w:t>
      </w:r>
      <w:r w:rsidRPr="00792BDF">
        <w:rPr>
          <w:i/>
          <w:lang w:val="id-ID"/>
        </w:rPr>
        <w:t xml:space="preserve"> </w:t>
      </w:r>
      <w:r>
        <w:rPr>
          <w:i/>
          <w:lang w:val="id-ID"/>
        </w:rPr>
        <w:t>and c</w:t>
      </w:r>
      <w:r w:rsidR="0019729F" w:rsidRPr="00792BDF">
        <w:rPr>
          <w:i/>
          <w:lang w:val="id-ID"/>
        </w:rPr>
        <w:t xml:space="preserve">apital cost </w:t>
      </w:r>
    </w:p>
    <w:p w:rsidR="0019729F" w:rsidRPr="000F4073" w:rsidRDefault="0019729F" w:rsidP="0019729F">
      <w:pPr>
        <w:spacing w:line="360" w:lineRule="auto"/>
        <w:ind w:firstLine="720"/>
        <w:jc w:val="both"/>
        <w:rPr>
          <w:lang w:val="id-ID"/>
        </w:rPr>
      </w:pPr>
      <w:r w:rsidRPr="000F4073">
        <w:rPr>
          <w:lang w:val="id-ID"/>
        </w:rPr>
        <w:t xml:space="preserve">Recently, the capital costs of submerged and encased membrane system have been </w:t>
      </w:r>
      <w:r>
        <w:rPr>
          <w:rFonts w:hint="eastAsia"/>
          <w:lang w:val="id-ID" w:eastAsia="ja-JP"/>
        </w:rPr>
        <w:t>reduc</w:t>
      </w:r>
      <w:r w:rsidRPr="000F4073">
        <w:rPr>
          <w:lang w:val="id-ID"/>
        </w:rPr>
        <w:t xml:space="preserve">ed by several manufacturers in order to minimize the total capital investment. The capital costs consist of the membrane, compressors, pumps, piping, instrumentation, controls, and other necessary for a complete and operable system. The data is </w:t>
      </w:r>
      <w:r>
        <w:rPr>
          <w:rFonts w:hint="eastAsia"/>
          <w:lang w:val="id-ID" w:eastAsia="ja-JP"/>
        </w:rPr>
        <w:t>summarized</w:t>
      </w:r>
      <w:r w:rsidRPr="000F4073">
        <w:rPr>
          <w:lang w:val="id-ID"/>
        </w:rPr>
        <w:t xml:space="preserve"> in the Fig. </w:t>
      </w:r>
      <w:r w:rsidR="006530CE">
        <w:rPr>
          <w:lang w:val="id-ID"/>
        </w:rPr>
        <w:t>2</w:t>
      </w:r>
      <w:r w:rsidRPr="000F4073">
        <w:rPr>
          <w:lang w:val="id-ID"/>
        </w:rPr>
        <w:t>, which show</w:t>
      </w:r>
      <w:r>
        <w:rPr>
          <w:rFonts w:hint="eastAsia"/>
          <w:lang w:val="id-ID" w:eastAsia="ja-JP"/>
        </w:rPr>
        <w:t>s</w:t>
      </w:r>
      <w:r w:rsidRPr="000F4073">
        <w:rPr>
          <w:lang w:val="id-ID"/>
        </w:rPr>
        <w:t xml:space="preserve"> that the </w:t>
      </w:r>
      <w:r>
        <w:rPr>
          <w:rFonts w:hint="eastAsia"/>
          <w:lang w:val="id-ID" w:eastAsia="ja-JP"/>
        </w:rPr>
        <w:t>both</w:t>
      </w:r>
      <w:r>
        <w:rPr>
          <w:lang w:val="id-ID"/>
        </w:rPr>
        <w:t>encased and submerged system</w:t>
      </w:r>
      <w:r>
        <w:rPr>
          <w:rFonts w:hint="eastAsia"/>
          <w:lang w:val="id-ID" w:eastAsia="ja-JP"/>
        </w:rPr>
        <w:t>a</w:t>
      </w:r>
      <w:r>
        <w:rPr>
          <w:lang w:val="id-ID"/>
        </w:rPr>
        <w:t xml:space="preserve"> </w:t>
      </w:r>
      <w:r w:rsidRPr="000F4073">
        <w:rPr>
          <w:lang w:val="id-ID"/>
        </w:rPr>
        <w:t>are very competitive for systems up to 10 mgd</w:t>
      </w:r>
      <w:r>
        <w:rPr>
          <w:lang w:val="id-ID"/>
        </w:rPr>
        <w:t xml:space="preserve"> (million gallon per day) </w:t>
      </w:r>
      <w:r w:rsidRPr="000F4073">
        <w:rPr>
          <w:lang w:val="id-ID"/>
        </w:rPr>
        <w:t>and submerged systems are more cost-effective for systems larger than 10 mgd.</w:t>
      </w:r>
    </w:p>
    <w:p w:rsidR="0019729F" w:rsidRDefault="0019729F" w:rsidP="0019729F">
      <w:pPr>
        <w:spacing w:line="360" w:lineRule="auto"/>
        <w:ind w:firstLine="720"/>
        <w:jc w:val="both"/>
        <w:rPr>
          <w:lang w:val="id-ID"/>
        </w:rPr>
      </w:pPr>
      <w:r>
        <w:rPr>
          <w:noProof/>
          <w:lang w:val="id-ID" w:eastAsia="id-ID"/>
        </w:rPr>
        <w:drawing>
          <wp:inline distT="0" distB="0" distL="0" distR="0">
            <wp:extent cx="3767019" cy="1549190"/>
            <wp:effectExtent l="19050" t="0" r="23931"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729F" w:rsidRDefault="0019729F" w:rsidP="0019729F">
      <w:pPr>
        <w:spacing w:line="360" w:lineRule="auto"/>
        <w:ind w:left="709" w:hanging="709"/>
        <w:jc w:val="both"/>
        <w:rPr>
          <w:lang w:val="id-ID"/>
        </w:rPr>
      </w:pPr>
      <w:r>
        <w:rPr>
          <w:lang w:val="id-ID"/>
        </w:rPr>
        <w:t xml:space="preserve">Fig. </w:t>
      </w:r>
      <w:r w:rsidR="006530CE">
        <w:rPr>
          <w:lang w:val="id-ID"/>
        </w:rPr>
        <w:t>2</w:t>
      </w:r>
      <w:r>
        <w:rPr>
          <w:lang w:val="id-ID"/>
        </w:rPr>
        <w:t>. The summarized capital costs for encased and submerged membrane systems bid and constructed from 2003 to 2011 in US Dollars (USD) per US Gallon (USG) of capacity [3,9,10,1</w:t>
      </w:r>
      <w:r w:rsidR="006530CE">
        <w:rPr>
          <w:lang w:val="id-ID"/>
        </w:rPr>
        <w:t>6</w:t>
      </w:r>
      <w:r>
        <w:rPr>
          <w:lang w:val="id-ID"/>
        </w:rPr>
        <w:t>].</w:t>
      </w:r>
    </w:p>
    <w:p w:rsidR="004C2E30" w:rsidRDefault="004C2E30" w:rsidP="0019729F">
      <w:pPr>
        <w:spacing w:line="360" w:lineRule="auto"/>
        <w:ind w:left="709" w:hanging="709"/>
        <w:jc w:val="both"/>
        <w:rPr>
          <w:lang w:val="id-ID"/>
        </w:rPr>
      </w:pPr>
    </w:p>
    <w:p w:rsidR="006530CE" w:rsidRDefault="0019729F" w:rsidP="0019729F">
      <w:pPr>
        <w:spacing w:line="360" w:lineRule="auto"/>
        <w:jc w:val="both"/>
        <w:rPr>
          <w:lang w:val="id-ID"/>
        </w:rPr>
      </w:pPr>
      <w:r>
        <w:rPr>
          <w:lang w:val="id-ID"/>
        </w:rPr>
        <w:tab/>
        <w:t>Sorgini</w:t>
      </w:r>
      <w:r>
        <w:rPr>
          <w:rFonts w:hint="eastAsia"/>
          <w:lang w:val="id-ID" w:eastAsia="ja-JP"/>
        </w:rPr>
        <w:t xml:space="preserve"> </w:t>
      </w:r>
      <w:r>
        <w:rPr>
          <w:lang w:val="id-ID"/>
        </w:rPr>
        <w:t xml:space="preserve">reported that the capital costs for the submerged system is lower than </w:t>
      </w:r>
      <w:r>
        <w:rPr>
          <w:rFonts w:hint="eastAsia"/>
          <w:lang w:val="id-ID" w:eastAsia="ja-JP"/>
        </w:rPr>
        <w:t xml:space="preserve">the </w:t>
      </w:r>
      <w:r>
        <w:rPr>
          <w:lang w:val="id-ID"/>
        </w:rPr>
        <w:t xml:space="preserve">encased system </w:t>
      </w:r>
      <w:r>
        <w:rPr>
          <w:rFonts w:hint="eastAsia"/>
          <w:lang w:val="id-ID" w:eastAsia="ja-JP"/>
        </w:rPr>
        <w:t>since</w:t>
      </w:r>
      <w:r>
        <w:rPr>
          <w:lang w:val="id-ID"/>
        </w:rPr>
        <w:t xml:space="preserve"> the membrane area per unit is higher for the submerged system, and the necessary ancillary pipework, pump, and valve requirements are lower [</w:t>
      </w:r>
      <w:r w:rsidR="006530CE">
        <w:rPr>
          <w:lang w:val="id-ID"/>
        </w:rPr>
        <w:t>17</w:t>
      </w:r>
      <w:r>
        <w:rPr>
          <w:lang w:val="id-ID"/>
        </w:rPr>
        <w:t xml:space="preserve">]. </w:t>
      </w:r>
    </w:p>
    <w:p w:rsidR="0019729F" w:rsidRDefault="0019729F" w:rsidP="0019729F">
      <w:pPr>
        <w:spacing w:line="360" w:lineRule="auto"/>
        <w:jc w:val="both"/>
        <w:rPr>
          <w:lang w:val="id-ID"/>
        </w:rPr>
      </w:pPr>
      <w:r>
        <w:rPr>
          <w:lang w:val="id-ID"/>
        </w:rPr>
        <w:tab/>
        <w:t xml:space="preserve">On completion of construction, the annual rate increase will be gradually scaled back over a five-years period. The percentage increase in water rates to residential customers is summarized in Table </w:t>
      </w:r>
      <w:r w:rsidR="006530CE">
        <w:rPr>
          <w:lang w:val="id-ID"/>
        </w:rPr>
        <w:t>4</w:t>
      </w:r>
      <w:r>
        <w:rPr>
          <w:lang w:val="id-ID"/>
        </w:rPr>
        <w:t xml:space="preserve">, as reported by Pressdee </w:t>
      </w:r>
      <w:r w:rsidRPr="00E32C67">
        <w:rPr>
          <w:i/>
          <w:lang w:val="id-ID"/>
        </w:rPr>
        <w:t>et al</w:t>
      </w:r>
      <w:r>
        <w:rPr>
          <w:lang w:val="id-ID"/>
        </w:rPr>
        <w:t>.[</w:t>
      </w:r>
      <w:r w:rsidR="006530CE">
        <w:rPr>
          <w:lang w:val="id-ID"/>
        </w:rPr>
        <w:t>18</w:t>
      </w:r>
      <w:r>
        <w:rPr>
          <w:lang w:val="id-ID"/>
        </w:rPr>
        <w:t>].</w:t>
      </w:r>
    </w:p>
    <w:p w:rsidR="0019729F" w:rsidRDefault="0019729F" w:rsidP="0019729F">
      <w:pPr>
        <w:spacing w:line="360" w:lineRule="auto"/>
        <w:jc w:val="center"/>
        <w:rPr>
          <w:lang w:val="id-ID"/>
        </w:rPr>
      </w:pPr>
    </w:p>
    <w:p w:rsidR="0019729F" w:rsidRDefault="0019729F" w:rsidP="0019729F">
      <w:pPr>
        <w:spacing w:line="360" w:lineRule="auto"/>
        <w:jc w:val="center"/>
        <w:rPr>
          <w:lang w:val="id-ID"/>
        </w:rPr>
      </w:pPr>
      <w:r>
        <w:rPr>
          <w:lang w:val="id-ID"/>
        </w:rPr>
        <w:t xml:space="preserve">Table </w:t>
      </w:r>
      <w:r w:rsidR="006530CE">
        <w:rPr>
          <w:lang w:val="id-ID"/>
        </w:rPr>
        <w:t>4</w:t>
      </w:r>
      <w:r>
        <w:rPr>
          <w:lang w:val="id-ID"/>
        </w:rPr>
        <w:t>. Impact of water treatment plant upgrades on water flowrates.</w:t>
      </w:r>
    </w:p>
    <w:tbl>
      <w:tblPr>
        <w:tblW w:w="0" w:type="auto"/>
        <w:tblInd w:w="959" w:type="dxa"/>
        <w:tblLook w:val="04A0"/>
      </w:tblPr>
      <w:tblGrid>
        <w:gridCol w:w="3305"/>
        <w:gridCol w:w="3357"/>
      </w:tblGrid>
      <w:tr w:rsidR="0019729F" w:rsidRPr="002C797A" w:rsidTr="008F2FAE">
        <w:tc>
          <w:tcPr>
            <w:tcW w:w="3305" w:type="dxa"/>
            <w:tcBorders>
              <w:top w:val="single" w:sz="4" w:space="0" w:color="auto"/>
              <w:bottom w:val="single" w:sz="4" w:space="0" w:color="auto"/>
            </w:tcBorders>
            <w:shd w:val="clear" w:color="auto" w:fill="auto"/>
            <w:vAlign w:val="center"/>
          </w:tcPr>
          <w:p w:rsidR="0019729F" w:rsidRPr="005C18D5" w:rsidRDefault="0019729F" w:rsidP="008F2FAE">
            <w:pPr>
              <w:spacing w:line="360" w:lineRule="auto"/>
              <w:jc w:val="center"/>
              <w:rPr>
                <w:rFonts w:eastAsia="Calibri"/>
                <w:lang w:val="id-ID"/>
              </w:rPr>
            </w:pPr>
            <w:r w:rsidRPr="005C18D5">
              <w:rPr>
                <w:rFonts w:eastAsia="Calibri"/>
                <w:sz w:val="22"/>
                <w:szCs w:val="22"/>
                <w:lang w:val="id-ID"/>
              </w:rPr>
              <w:t>Financial year</w:t>
            </w:r>
          </w:p>
        </w:tc>
        <w:tc>
          <w:tcPr>
            <w:tcW w:w="3357" w:type="dxa"/>
            <w:tcBorders>
              <w:top w:val="single" w:sz="4" w:space="0" w:color="auto"/>
              <w:bottom w:val="single" w:sz="4" w:space="0" w:color="auto"/>
            </w:tcBorders>
            <w:shd w:val="clear" w:color="auto" w:fill="auto"/>
            <w:vAlign w:val="center"/>
          </w:tcPr>
          <w:p w:rsidR="0019729F" w:rsidRPr="005C18D5" w:rsidRDefault="0019729F" w:rsidP="008F2FAE">
            <w:pPr>
              <w:spacing w:line="360" w:lineRule="auto"/>
              <w:jc w:val="center"/>
              <w:rPr>
                <w:rFonts w:eastAsia="Calibri"/>
                <w:lang w:val="id-ID"/>
              </w:rPr>
            </w:pPr>
            <w:r w:rsidRPr="005C18D5">
              <w:rPr>
                <w:rFonts w:eastAsia="Calibri"/>
                <w:sz w:val="22"/>
                <w:szCs w:val="22"/>
                <w:lang w:val="id-ID"/>
              </w:rPr>
              <w:t>Percentage rate increase</w:t>
            </w:r>
          </w:p>
        </w:tc>
      </w:tr>
      <w:tr w:rsidR="0019729F" w:rsidRPr="002C797A" w:rsidTr="008F2FAE">
        <w:tc>
          <w:tcPr>
            <w:tcW w:w="3305" w:type="dxa"/>
            <w:tcBorders>
              <w:top w:val="single" w:sz="4" w:space="0" w:color="auto"/>
            </w:tcBorders>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2003</w:t>
            </w:r>
          </w:p>
        </w:tc>
        <w:tc>
          <w:tcPr>
            <w:tcW w:w="3357" w:type="dxa"/>
            <w:tcBorders>
              <w:top w:val="single" w:sz="4" w:space="0" w:color="auto"/>
            </w:tcBorders>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10</w:t>
            </w:r>
          </w:p>
        </w:tc>
      </w:tr>
      <w:tr w:rsidR="0019729F" w:rsidRPr="002C797A" w:rsidTr="008F2FAE">
        <w:tc>
          <w:tcPr>
            <w:tcW w:w="3305"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2004</w:t>
            </w:r>
          </w:p>
        </w:tc>
        <w:tc>
          <w:tcPr>
            <w:tcW w:w="3357"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10</w:t>
            </w:r>
          </w:p>
        </w:tc>
      </w:tr>
      <w:tr w:rsidR="0019729F" w:rsidRPr="002C797A" w:rsidTr="008F2FAE">
        <w:tc>
          <w:tcPr>
            <w:tcW w:w="3305"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2005</w:t>
            </w:r>
          </w:p>
        </w:tc>
        <w:tc>
          <w:tcPr>
            <w:tcW w:w="3357"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10</w:t>
            </w:r>
          </w:p>
        </w:tc>
      </w:tr>
      <w:tr w:rsidR="0019729F" w:rsidRPr="002C797A" w:rsidTr="008F2FAE">
        <w:tc>
          <w:tcPr>
            <w:tcW w:w="3305"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2006</w:t>
            </w:r>
          </w:p>
        </w:tc>
        <w:tc>
          <w:tcPr>
            <w:tcW w:w="3357"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10</w:t>
            </w:r>
          </w:p>
        </w:tc>
      </w:tr>
      <w:tr w:rsidR="0019729F" w:rsidRPr="002C797A" w:rsidTr="008F2FAE">
        <w:tc>
          <w:tcPr>
            <w:tcW w:w="3305"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2007</w:t>
            </w:r>
          </w:p>
        </w:tc>
        <w:tc>
          <w:tcPr>
            <w:tcW w:w="3357"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10</w:t>
            </w:r>
          </w:p>
        </w:tc>
      </w:tr>
      <w:tr w:rsidR="0019729F" w:rsidRPr="002C797A" w:rsidTr="008F2FAE">
        <w:tc>
          <w:tcPr>
            <w:tcW w:w="3305"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2008</w:t>
            </w:r>
          </w:p>
        </w:tc>
        <w:tc>
          <w:tcPr>
            <w:tcW w:w="3357"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7</w:t>
            </w:r>
          </w:p>
        </w:tc>
      </w:tr>
      <w:tr w:rsidR="0019729F" w:rsidRPr="002C797A" w:rsidTr="008F2FAE">
        <w:tc>
          <w:tcPr>
            <w:tcW w:w="3305"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2009</w:t>
            </w:r>
          </w:p>
        </w:tc>
        <w:tc>
          <w:tcPr>
            <w:tcW w:w="3357"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5</w:t>
            </w:r>
          </w:p>
        </w:tc>
      </w:tr>
      <w:tr w:rsidR="0019729F" w:rsidRPr="002C797A" w:rsidTr="008F2FAE">
        <w:tc>
          <w:tcPr>
            <w:tcW w:w="3305"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2010</w:t>
            </w:r>
          </w:p>
        </w:tc>
        <w:tc>
          <w:tcPr>
            <w:tcW w:w="3357" w:type="dxa"/>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3</w:t>
            </w:r>
          </w:p>
        </w:tc>
      </w:tr>
      <w:tr w:rsidR="0019729F" w:rsidRPr="002C797A" w:rsidTr="008F2FAE">
        <w:tc>
          <w:tcPr>
            <w:tcW w:w="3305" w:type="dxa"/>
            <w:tcBorders>
              <w:bottom w:val="single" w:sz="4" w:space="0" w:color="auto"/>
            </w:tcBorders>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2011</w:t>
            </w:r>
          </w:p>
        </w:tc>
        <w:tc>
          <w:tcPr>
            <w:tcW w:w="3357" w:type="dxa"/>
            <w:tcBorders>
              <w:bottom w:val="single" w:sz="4" w:space="0" w:color="auto"/>
            </w:tcBorders>
            <w:shd w:val="clear" w:color="auto" w:fill="auto"/>
            <w:vAlign w:val="center"/>
          </w:tcPr>
          <w:p w:rsidR="0019729F" w:rsidRPr="005C18D5" w:rsidRDefault="0019729F" w:rsidP="008F2FAE">
            <w:pPr>
              <w:spacing w:line="276" w:lineRule="auto"/>
              <w:jc w:val="center"/>
              <w:rPr>
                <w:rFonts w:eastAsia="Calibri"/>
                <w:lang w:val="id-ID"/>
              </w:rPr>
            </w:pPr>
            <w:r w:rsidRPr="005C18D5">
              <w:rPr>
                <w:rFonts w:eastAsia="Calibri"/>
                <w:sz w:val="22"/>
                <w:szCs w:val="22"/>
                <w:lang w:val="id-ID"/>
              </w:rPr>
              <w:t>2</w:t>
            </w:r>
          </w:p>
        </w:tc>
      </w:tr>
    </w:tbl>
    <w:p w:rsidR="0019729F" w:rsidRDefault="0019729F" w:rsidP="0019729F">
      <w:pPr>
        <w:spacing w:line="360" w:lineRule="auto"/>
        <w:ind w:firstLine="720"/>
        <w:jc w:val="both"/>
        <w:rPr>
          <w:lang w:val="id-ID"/>
        </w:rPr>
      </w:pPr>
      <w:r>
        <w:rPr>
          <w:lang w:val="id-ID"/>
        </w:rPr>
        <w:lastRenderedPageBreak/>
        <w:t xml:space="preserve">The costs estimating models in Table </w:t>
      </w:r>
      <w:r w:rsidR="006530CE">
        <w:rPr>
          <w:lang w:val="id-ID"/>
        </w:rPr>
        <w:t>4</w:t>
      </w:r>
      <w:r>
        <w:rPr>
          <w:lang w:val="id-ID"/>
        </w:rPr>
        <w:t xml:space="preserve"> are currently available for estimating capital and operation costs of water treatment process including membrane process.</w:t>
      </w:r>
    </w:p>
    <w:p w:rsidR="0019729F" w:rsidRPr="000F4073" w:rsidRDefault="0019729F" w:rsidP="0019729F">
      <w:pPr>
        <w:spacing w:line="360" w:lineRule="auto"/>
        <w:ind w:firstLine="720"/>
        <w:jc w:val="center"/>
        <w:rPr>
          <w:lang w:val="id-ID"/>
        </w:rPr>
      </w:pPr>
    </w:p>
    <w:p w:rsidR="0019729F" w:rsidRDefault="0019729F" w:rsidP="0019729F">
      <w:pPr>
        <w:numPr>
          <w:ilvl w:val="0"/>
          <w:numId w:val="1"/>
        </w:numPr>
        <w:spacing w:line="360" w:lineRule="auto"/>
        <w:jc w:val="both"/>
        <w:rPr>
          <w:b/>
          <w:lang w:val="id-ID"/>
        </w:rPr>
      </w:pPr>
      <w:r>
        <w:rPr>
          <w:b/>
          <w:lang w:val="id-ID"/>
        </w:rPr>
        <w:t>Submerged membrane filtration</w:t>
      </w:r>
      <w:r w:rsidRPr="00940D3B">
        <w:rPr>
          <w:b/>
          <w:lang w:val="id-ID"/>
        </w:rPr>
        <w:t xml:space="preserve"> performance evaluation </w:t>
      </w:r>
    </w:p>
    <w:p w:rsidR="0019729F" w:rsidRPr="00940D3B" w:rsidRDefault="0019729F" w:rsidP="0019729F">
      <w:pPr>
        <w:spacing w:line="360" w:lineRule="auto"/>
        <w:ind w:left="360"/>
        <w:jc w:val="both"/>
        <w:rPr>
          <w:b/>
          <w:lang w:val="id-ID"/>
        </w:rPr>
      </w:pPr>
    </w:p>
    <w:p w:rsidR="006530CE" w:rsidRDefault="0019729F" w:rsidP="00B12C98">
      <w:pPr>
        <w:spacing w:line="360" w:lineRule="auto"/>
        <w:ind w:firstLine="720"/>
        <w:jc w:val="both"/>
        <w:rPr>
          <w:lang w:val="id-ID"/>
        </w:rPr>
      </w:pPr>
      <w:r>
        <w:rPr>
          <w:lang w:val="id-ID"/>
        </w:rPr>
        <w:t xml:space="preserve">The economics of submerged membrane filtration </w:t>
      </w:r>
      <w:r w:rsidR="006530CE">
        <w:rPr>
          <w:lang w:val="id-ID"/>
        </w:rPr>
        <w:t xml:space="preserve">based on its energy consumption </w:t>
      </w:r>
      <w:r>
        <w:rPr>
          <w:lang w:val="id-ID"/>
        </w:rPr>
        <w:t xml:space="preserve">were </w:t>
      </w:r>
      <w:r>
        <w:rPr>
          <w:rFonts w:hint="eastAsia"/>
          <w:lang w:val="id-ID" w:eastAsia="ja-JP"/>
        </w:rPr>
        <w:t>evaluat</w:t>
      </w:r>
      <w:r>
        <w:rPr>
          <w:lang w:val="id-ID"/>
        </w:rPr>
        <w:t>ed ba</w:t>
      </w:r>
      <w:r w:rsidR="006530CE">
        <w:rPr>
          <w:lang w:val="id-ID"/>
        </w:rPr>
        <w:t xml:space="preserve">sed on the plant specification. </w:t>
      </w:r>
      <w:r w:rsidRPr="00B777F1">
        <w:rPr>
          <w:lang w:val="id-ID"/>
        </w:rPr>
        <w:t>It is further shown that this advanced membrane treatment process exhibited promising annual reuse water production of 1,825 G</w:t>
      </w:r>
      <w:r>
        <w:rPr>
          <w:rFonts w:hint="eastAsia"/>
          <w:lang w:val="id-ID" w:eastAsia="ja-JP"/>
        </w:rPr>
        <w:t>allon</w:t>
      </w:r>
      <w:r w:rsidRPr="00B777F1">
        <w:rPr>
          <w:lang w:val="id-ID"/>
        </w:rPr>
        <w:t xml:space="preserve"> and effective treatment cost of RM 21.47/G</w:t>
      </w:r>
      <w:r>
        <w:rPr>
          <w:rFonts w:hint="eastAsia"/>
          <w:lang w:val="id-ID" w:eastAsia="ja-JP"/>
        </w:rPr>
        <w:t>allon</w:t>
      </w:r>
      <w:r w:rsidRPr="00B777F1">
        <w:rPr>
          <w:lang w:val="id-ID"/>
        </w:rPr>
        <w:t xml:space="preserve"> or RM </w:t>
      </w:r>
      <w:r>
        <w:rPr>
          <w:rFonts w:hint="eastAsia"/>
          <w:lang w:val="id-ID" w:eastAsia="ja-JP"/>
        </w:rPr>
        <w:t>5.66</w:t>
      </w:r>
      <w:r w:rsidRPr="00B777F1">
        <w:rPr>
          <w:lang w:val="id-ID"/>
        </w:rPr>
        <w:t xml:space="preserve">/L (USD </w:t>
      </w:r>
      <w:r>
        <w:rPr>
          <w:rFonts w:hint="eastAsia"/>
          <w:lang w:val="id-ID" w:eastAsia="ja-JP"/>
        </w:rPr>
        <w:t>1.88</w:t>
      </w:r>
      <w:r w:rsidRPr="00B777F1">
        <w:rPr>
          <w:lang w:val="id-ID"/>
        </w:rPr>
        <w:t>/L). Plant specification was carried out using assumptions and</w:t>
      </w:r>
      <w:r>
        <w:rPr>
          <w:lang w:val="id-ID"/>
        </w:rPr>
        <w:t xml:space="preserve"> financial arrangements described in Table </w:t>
      </w:r>
      <w:r w:rsidR="006530CE">
        <w:rPr>
          <w:lang w:val="id-ID"/>
        </w:rPr>
        <w:t>5</w:t>
      </w:r>
      <w:r w:rsidR="002D34B1">
        <w:rPr>
          <w:lang w:val="id-ID"/>
        </w:rPr>
        <w:t xml:space="preserve"> dan 6</w:t>
      </w:r>
      <w:r>
        <w:rPr>
          <w:lang w:val="id-ID"/>
        </w:rPr>
        <w:t>.</w:t>
      </w:r>
      <w:r w:rsidR="006530CE">
        <w:rPr>
          <w:lang w:val="id-ID"/>
        </w:rPr>
        <w:t xml:space="preserve"> The operating and maintenance costs of resuse water production from refinery wastewater has bees anlized and listed in Table 5.</w:t>
      </w:r>
    </w:p>
    <w:p w:rsidR="002D34B1" w:rsidRDefault="002D34B1" w:rsidP="00B12C98">
      <w:pPr>
        <w:spacing w:line="360" w:lineRule="auto"/>
        <w:ind w:firstLine="720"/>
        <w:jc w:val="both"/>
        <w:rPr>
          <w:lang w:val="id-ID"/>
        </w:rPr>
      </w:pPr>
    </w:p>
    <w:p w:rsidR="002D34B1" w:rsidRPr="008D2F2C" w:rsidRDefault="002D34B1" w:rsidP="002D34B1">
      <w:pPr>
        <w:spacing w:line="360" w:lineRule="auto"/>
        <w:jc w:val="both"/>
        <w:rPr>
          <w:lang w:val="id-ID"/>
        </w:rPr>
      </w:pPr>
      <w:r w:rsidRPr="008D2F2C">
        <w:rPr>
          <w:b/>
          <w:lang w:val="id-ID"/>
        </w:rPr>
        <w:t xml:space="preserve">Table </w:t>
      </w:r>
      <w:r>
        <w:rPr>
          <w:b/>
          <w:lang w:val="id-ID"/>
        </w:rPr>
        <w:t>5.</w:t>
      </w:r>
      <w:r w:rsidRPr="008D2F2C">
        <w:rPr>
          <w:lang w:val="id-ID"/>
        </w:rPr>
        <w:t xml:space="preserve"> The </w:t>
      </w:r>
      <w:r>
        <w:rPr>
          <w:lang w:val="id-ID"/>
        </w:rPr>
        <w:t>direct and indirect costs (A) of reuse water production per year</w:t>
      </w:r>
    </w:p>
    <w:tbl>
      <w:tblPr>
        <w:tblW w:w="8222" w:type="dxa"/>
        <w:tblInd w:w="108" w:type="dxa"/>
        <w:tblLook w:val="04A0"/>
      </w:tblPr>
      <w:tblGrid>
        <w:gridCol w:w="461"/>
        <w:gridCol w:w="4110"/>
        <w:gridCol w:w="872"/>
        <w:gridCol w:w="1680"/>
        <w:gridCol w:w="1134"/>
      </w:tblGrid>
      <w:tr w:rsidR="002D34B1" w:rsidRPr="002C797A" w:rsidTr="008F2FAE">
        <w:trPr>
          <w:trHeight w:val="300"/>
        </w:trPr>
        <w:tc>
          <w:tcPr>
            <w:tcW w:w="4536" w:type="dxa"/>
            <w:gridSpan w:val="2"/>
            <w:tcBorders>
              <w:left w:val="nil"/>
              <w:right w:val="nil"/>
            </w:tcBorders>
            <w:shd w:val="clear" w:color="auto" w:fill="auto"/>
            <w:noWrap/>
            <w:vAlign w:val="bottom"/>
            <w:hideMark/>
          </w:tcPr>
          <w:p w:rsidR="002D34B1" w:rsidRPr="002C797A" w:rsidRDefault="002D34B1" w:rsidP="008F2FAE">
            <w:pPr>
              <w:ind w:left="176" w:hanging="176"/>
              <w:jc w:val="center"/>
              <w:rPr>
                <w:color w:val="000000"/>
                <w:sz w:val="20"/>
                <w:szCs w:val="20"/>
              </w:rPr>
            </w:pPr>
            <w:r w:rsidRPr="002C797A">
              <w:rPr>
                <w:color w:val="000000"/>
                <w:sz w:val="20"/>
                <w:szCs w:val="20"/>
              </w:rPr>
              <w:t>Direct and indirect costs</w:t>
            </w:r>
          </w:p>
        </w:tc>
        <w:tc>
          <w:tcPr>
            <w:tcW w:w="872" w:type="dxa"/>
            <w:vMerge w:val="restart"/>
            <w:tcBorders>
              <w:left w:val="nil"/>
              <w:right w:val="nil"/>
            </w:tcBorders>
            <w:shd w:val="clear" w:color="auto" w:fill="auto"/>
            <w:noWrap/>
            <w:vAlign w:val="center"/>
            <w:hideMark/>
          </w:tcPr>
          <w:p w:rsidR="002D34B1" w:rsidRPr="002C797A" w:rsidRDefault="002D34B1" w:rsidP="008F2FAE">
            <w:pPr>
              <w:ind w:left="176" w:hanging="176"/>
              <w:rPr>
                <w:color w:val="000000"/>
                <w:sz w:val="20"/>
                <w:szCs w:val="20"/>
              </w:rPr>
            </w:pPr>
            <w:r w:rsidRPr="002C797A">
              <w:rPr>
                <w:color w:val="000000"/>
                <w:sz w:val="20"/>
                <w:szCs w:val="20"/>
              </w:rPr>
              <w:t>Amount (kg)</w:t>
            </w:r>
          </w:p>
        </w:tc>
        <w:tc>
          <w:tcPr>
            <w:tcW w:w="2814" w:type="dxa"/>
            <w:gridSpan w:val="2"/>
            <w:vMerge w:val="restart"/>
            <w:tcBorders>
              <w:left w:val="nil"/>
              <w:right w:val="nil"/>
            </w:tcBorders>
            <w:shd w:val="clear" w:color="auto" w:fill="auto"/>
            <w:noWrap/>
            <w:vAlign w:val="center"/>
            <w:hideMark/>
          </w:tcPr>
          <w:p w:rsidR="002D34B1" w:rsidRPr="002C797A" w:rsidRDefault="002D34B1" w:rsidP="008F2FAE">
            <w:pPr>
              <w:ind w:left="176" w:hanging="176"/>
              <w:jc w:val="center"/>
              <w:rPr>
                <w:color w:val="000000"/>
                <w:sz w:val="20"/>
                <w:szCs w:val="20"/>
              </w:rPr>
            </w:pPr>
            <w:r w:rsidRPr="002C797A">
              <w:rPr>
                <w:color w:val="000000"/>
                <w:sz w:val="20"/>
                <w:szCs w:val="20"/>
              </w:rPr>
              <w:t>Purchasing cost (RM)</w:t>
            </w:r>
          </w:p>
        </w:tc>
      </w:tr>
      <w:tr w:rsidR="002D34B1" w:rsidRPr="002C797A" w:rsidTr="008F2FAE">
        <w:trPr>
          <w:trHeight w:val="300"/>
        </w:trPr>
        <w:tc>
          <w:tcPr>
            <w:tcW w:w="426" w:type="dxa"/>
            <w:tcBorders>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No</w:t>
            </w:r>
          </w:p>
        </w:tc>
        <w:tc>
          <w:tcPr>
            <w:tcW w:w="4110" w:type="dxa"/>
            <w:tcBorders>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Item</w:t>
            </w:r>
          </w:p>
        </w:tc>
        <w:tc>
          <w:tcPr>
            <w:tcW w:w="872" w:type="dxa"/>
            <w:vMerge/>
            <w:tcBorders>
              <w:left w:val="nil"/>
              <w:bottom w:val="single" w:sz="4" w:space="0" w:color="auto"/>
              <w:right w:val="nil"/>
            </w:tcBorders>
            <w:shd w:val="clear" w:color="auto" w:fill="auto"/>
            <w:noWrap/>
            <w:hideMark/>
          </w:tcPr>
          <w:p w:rsidR="002D34B1" w:rsidRPr="002C797A" w:rsidRDefault="002D34B1" w:rsidP="008F2FAE">
            <w:pPr>
              <w:ind w:left="176" w:hanging="176"/>
              <w:jc w:val="center"/>
              <w:rPr>
                <w:color w:val="000000"/>
                <w:sz w:val="20"/>
                <w:szCs w:val="20"/>
              </w:rPr>
            </w:pPr>
          </w:p>
        </w:tc>
        <w:tc>
          <w:tcPr>
            <w:tcW w:w="2814" w:type="dxa"/>
            <w:gridSpan w:val="2"/>
            <w:vMerge/>
            <w:tcBorders>
              <w:left w:val="nil"/>
              <w:bottom w:val="single" w:sz="4" w:space="0" w:color="auto"/>
              <w:right w:val="nil"/>
            </w:tcBorders>
            <w:shd w:val="clear" w:color="auto" w:fill="auto"/>
            <w:noWrap/>
            <w:hideMark/>
          </w:tcPr>
          <w:p w:rsidR="002D34B1" w:rsidRPr="002C797A" w:rsidRDefault="002D34B1" w:rsidP="008F2FAE">
            <w:pPr>
              <w:ind w:left="176" w:hanging="176"/>
              <w:jc w:val="center"/>
              <w:rPr>
                <w:color w:val="000000"/>
                <w:sz w:val="20"/>
                <w:szCs w:val="20"/>
              </w:rPr>
            </w:pPr>
          </w:p>
        </w:tc>
      </w:tr>
      <w:tr w:rsidR="002D34B1" w:rsidRPr="002C797A" w:rsidTr="008F2FAE">
        <w:trPr>
          <w:trHeight w:val="300"/>
        </w:trPr>
        <w:tc>
          <w:tcPr>
            <w:tcW w:w="426" w:type="dxa"/>
            <w:tcBorders>
              <w:top w:val="single" w:sz="4" w:space="0" w:color="auto"/>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A</w:t>
            </w:r>
          </w:p>
        </w:tc>
        <w:tc>
          <w:tcPr>
            <w:tcW w:w="4110" w:type="dxa"/>
            <w:tcBorders>
              <w:top w:val="single" w:sz="4" w:space="0" w:color="auto"/>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Raw material costs</w:t>
            </w:r>
          </w:p>
        </w:tc>
        <w:tc>
          <w:tcPr>
            <w:tcW w:w="872" w:type="dxa"/>
            <w:vMerge/>
            <w:tcBorders>
              <w:top w:val="single" w:sz="4" w:space="0" w:color="auto"/>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2814" w:type="dxa"/>
            <w:gridSpan w:val="2"/>
            <w:vMerge/>
            <w:tcBorders>
              <w:top w:val="single" w:sz="4" w:space="0" w:color="auto"/>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p>
        </w:tc>
      </w:tr>
      <w:tr w:rsidR="002D34B1" w:rsidRPr="002C797A" w:rsidTr="008F2FAE">
        <w:trPr>
          <w:trHeight w:val="300"/>
        </w:trPr>
        <w:tc>
          <w:tcPr>
            <w:tcW w:w="426" w:type="dxa"/>
            <w:tcBorders>
              <w:top w:val="nil"/>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4110" w:type="dxa"/>
            <w:tcBorders>
              <w:top w:val="nil"/>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872" w:type="dxa"/>
            <w:vMerge/>
            <w:tcBorders>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680" w:type="dxa"/>
            <w:tcBorders>
              <w:top w:val="single" w:sz="4" w:space="0" w:color="auto"/>
              <w:left w:val="nil"/>
              <w:bottom w:val="single" w:sz="4" w:space="0" w:color="auto"/>
              <w:right w:val="nil"/>
            </w:tcBorders>
            <w:shd w:val="clear" w:color="auto" w:fill="auto"/>
            <w:noWrap/>
            <w:vAlign w:val="bottom"/>
            <w:hideMark/>
          </w:tcPr>
          <w:p w:rsidR="002D34B1" w:rsidRPr="002C797A" w:rsidRDefault="002D34B1" w:rsidP="008F2FAE">
            <w:pPr>
              <w:ind w:left="176" w:hanging="176"/>
              <w:jc w:val="center"/>
              <w:rPr>
                <w:color w:val="000000"/>
                <w:sz w:val="20"/>
                <w:szCs w:val="20"/>
              </w:rPr>
            </w:pPr>
            <w:r w:rsidRPr="002C797A">
              <w:rPr>
                <w:color w:val="000000"/>
                <w:sz w:val="20"/>
                <w:szCs w:val="20"/>
              </w:rPr>
              <w:t>RM/kg</w:t>
            </w:r>
          </w:p>
        </w:tc>
        <w:tc>
          <w:tcPr>
            <w:tcW w:w="1134" w:type="dxa"/>
            <w:tcBorders>
              <w:top w:val="single" w:sz="4" w:space="0" w:color="auto"/>
              <w:left w:val="nil"/>
              <w:bottom w:val="single" w:sz="4" w:space="0" w:color="auto"/>
              <w:right w:val="nil"/>
            </w:tcBorders>
            <w:shd w:val="clear" w:color="auto" w:fill="auto"/>
            <w:noWrap/>
            <w:vAlign w:val="bottom"/>
            <w:hideMark/>
          </w:tcPr>
          <w:p w:rsidR="002D34B1" w:rsidRPr="002C797A" w:rsidRDefault="002D34B1" w:rsidP="008F2FAE">
            <w:pPr>
              <w:ind w:left="176" w:hanging="176"/>
              <w:jc w:val="center"/>
              <w:rPr>
                <w:color w:val="000000"/>
                <w:sz w:val="20"/>
                <w:szCs w:val="20"/>
              </w:rPr>
            </w:pPr>
            <w:r w:rsidRPr="002C797A">
              <w:rPr>
                <w:color w:val="000000"/>
                <w:sz w:val="20"/>
                <w:szCs w:val="20"/>
              </w:rPr>
              <w:t>Cost</w:t>
            </w:r>
          </w:p>
        </w:tc>
      </w:tr>
      <w:tr w:rsidR="002D34B1" w:rsidRPr="002C797A" w:rsidTr="008F2FAE">
        <w:trPr>
          <w:trHeight w:val="300"/>
        </w:trPr>
        <w:tc>
          <w:tcPr>
            <w:tcW w:w="426" w:type="dxa"/>
            <w:tcBorders>
              <w:top w:val="single" w:sz="4" w:space="0" w:color="auto"/>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a</w:t>
            </w:r>
          </w:p>
        </w:tc>
        <w:tc>
          <w:tcPr>
            <w:tcW w:w="4110" w:type="dxa"/>
            <w:tcBorders>
              <w:top w:val="single" w:sz="4" w:space="0" w:color="auto"/>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Polyvinylidene fluoride Kynar-760</w:t>
            </w:r>
          </w:p>
        </w:tc>
        <w:tc>
          <w:tcPr>
            <w:tcW w:w="872" w:type="dxa"/>
            <w:tcBorders>
              <w:top w:val="single" w:sz="4" w:space="0" w:color="auto"/>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132.088</w:t>
            </w:r>
          </w:p>
        </w:tc>
        <w:tc>
          <w:tcPr>
            <w:tcW w:w="1680" w:type="dxa"/>
            <w:tcBorders>
              <w:top w:val="single" w:sz="4" w:space="0" w:color="auto"/>
              <w:left w:val="nil"/>
              <w:bottom w:val="nil"/>
              <w:right w:val="nil"/>
            </w:tcBorders>
            <w:shd w:val="clear" w:color="auto" w:fill="auto"/>
            <w:noWrap/>
            <w:vAlign w:val="bottom"/>
            <w:hideMark/>
          </w:tcPr>
          <w:p w:rsidR="002D34B1" w:rsidRPr="002C797A" w:rsidRDefault="002D34B1" w:rsidP="008F2FAE">
            <w:pPr>
              <w:ind w:left="176" w:hanging="176"/>
              <w:rPr>
                <w:sz w:val="20"/>
                <w:szCs w:val="20"/>
              </w:rPr>
            </w:pPr>
            <w:r w:rsidRPr="002C797A">
              <w:rPr>
                <w:sz w:val="20"/>
                <w:szCs w:val="20"/>
              </w:rPr>
              <w:t>50.015</w:t>
            </w:r>
          </w:p>
        </w:tc>
        <w:tc>
          <w:tcPr>
            <w:tcW w:w="1134" w:type="dxa"/>
            <w:tcBorders>
              <w:top w:val="single" w:sz="4" w:space="0" w:color="auto"/>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6,606.38</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b</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Lithium chloride monohydrate</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6.868</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sz w:val="20"/>
                <w:szCs w:val="20"/>
              </w:rPr>
            </w:pPr>
            <w:r w:rsidRPr="002C797A">
              <w:rPr>
                <w:sz w:val="20"/>
                <w:szCs w:val="20"/>
              </w:rPr>
              <w:t>110.588</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759.52</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Titanium dioxide</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13.209</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sz w:val="20"/>
                <w:szCs w:val="20"/>
              </w:rPr>
            </w:pPr>
            <w:r w:rsidRPr="002C797A">
              <w:rPr>
                <w:sz w:val="20"/>
                <w:szCs w:val="20"/>
              </w:rPr>
              <w:t>134.163</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1,772.16</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c</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N,N-dimethylacetamide DMAc-Merck</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43.035</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sz w:val="20"/>
                <w:szCs w:val="20"/>
              </w:rPr>
            </w:pPr>
            <w:r w:rsidRPr="002C797A">
              <w:rPr>
                <w:sz w:val="20"/>
                <w:szCs w:val="20"/>
              </w:rPr>
              <w:t>120</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5,164.20</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d</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Post treatment Glycerol solution (20% of 200</w:t>
            </w:r>
            <w:r w:rsidRPr="002C797A">
              <w:rPr>
                <w:color w:val="000000"/>
                <w:sz w:val="20"/>
                <w:szCs w:val="20"/>
                <w:lang w:val="id-ID"/>
              </w:rPr>
              <w:t xml:space="preserve"> </w:t>
            </w:r>
            <w:r w:rsidRPr="002C797A">
              <w:rPr>
                <w:color w:val="000000"/>
                <w:sz w:val="20"/>
                <w:szCs w:val="20"/>
              </w:rPr>
              <w:t>L)</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sz w:val="20"/>
                <w:szCs w:val="20"/>
              </w:rPr>
            </w:pPr>
            <w:r w:rsidRPr="002C797A">
              <w:rPr>
                <w:sz w:val="20"/>
                <w:szCs w:val="20"/>
              </w:rPr>
              <w:t>40</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sz w:val="20"/>
                <w:szCs w:val="20"/>
              </w:rPr>
            </w:pPr>
            <w:r w:rsidRPr="002C797A">
              <w:rPr>
                <w:sz w:val="20"/>
                <w:szCs w:val="20"/>
              </w:rPr>
              <w:t>18.5</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740.00</w:t>
            </w:r>
          </w:p>
        </w:tc>
      </w:tr>
      <w:tr w:rsidR="002D34B1" w:rsidRPr="002C797A" w:rsidTr="008F2FAE">
        <w:trPr>
          <w:trHeight w:val="315"/>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e</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bare module cost (Cbm) (a+b+c+d)</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15,042.26</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f</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Auxiliary facilities</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30% of Cbm</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4,512.68</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g</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Contingency and fees</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10% of Cbm</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1</w:t>
            </w:r>
            <w:r w:rsidRPr="002C797A">
              <w:rPr>
                <w:color w:val="000000"/>
                <w:sz w:val="20"/>
                <w:szCs w:val="20"/>
                <w:lang w:val="id-ID"/>
              </w:rPr>
              <w:t>,</w:t>
            </w:r>
            <w:r w:rsidRPr="002C797A">
              <w:rPr>
                <w:color w:val="000000"/>
                <w:sz w:val="20"/>
                <w:szCs w:val="20"/>
              </w:rPr>
              <w:t>504.2</w:t>
            </w:r>
            <w:r w:rsidRPr="002C797A">
              <w:rPr>
                <w:color w:val="000000"/>
                <w:sz w:val="20"/>
                <w:szCs w:val="20"/>
                <w:lang w:val="id-ID"/>
              </w:rPr>
              <w:t>3</w:t>
            </w:r>
          </w:p>
        </w:tc>
      </w:tr>
      <w:tr w:rsidR="002D34B1" w:rsidRPr="002C797A" w:rsidTr="008F2FAE">
        <w:trPr>
          <w:trHeight w:val="315"/>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h</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module cost (A)(Cmembrane) (e+f+g)</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b/>
                <w:bCs/>
                <w:color w:val="000000"/>
                <w:sz w:val="20"/>
                <w:szCs w:val="20"/>
              </w:rPr>
            </w:pPr>
            <w:r w:rsidRPr="002C797A">
              <w:rPr>
                <w:b/>
                <w:bCs/>
                <w:color w:val="000000"/>
                <w:sz w:val="20"/>
                <w:szCs w:val="20"/>
              </w:rPr>
              <w:t>21,059.16</w:t>
            </w:r>
          </w:p>
        </w:tc>
      </w:tr>
      <w:tr w:rsidR="002D34B1" w:rsidRPr="002C797A" w:rsidTr="008F2FAE">
        <w:trPr>
          <w:trHeight w:val="315"/>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i</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module cost/m2 (Cmembrane/m2)</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b/>
                <w:bCs/>
                <w:color w:val="000000"/>
                <w:sz w:val="20"/>
                <w:szCs w:val="20"/>
              </w:rPr>
            </w:pPr>
            <w:r w:rsidRPr="002C797A">
              <w:rPr>
                <w:b/>
                <w:bCs/>
                <w:color w:val="000000"/>
                <w:sz w:val="20"/>
                <w:szCs w:val="20"/>
              </w:rPr>
              <w:t>11.69</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j</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Land, Building and service facilities</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5% of Cmembrane</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1052.9</w:t>
            </w:r>
            <w:r w:rsidRPr="002C797A">
              <w:rPr>
                <w:color w:val="000000"/>
                <w:sz w:val="20"/>
                <w:szCs w:val="20"/>
                <w:lang w:val="id-ID"/>
              </w:rPr>
              <w:t>6</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k</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Building improvements</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5% of Cmembrane</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1052.9</w:t>
            </w:r>
            <w:r w:rsidRPr="002C797A">
              <w:rPr>
                <w:color w:val="000000"/>
                <w:sz w:val="20"/>
                <w:szCs w:val="20"/>
                <w:lang w:val="id-ID"/>
              </w:rPr>
              <w:t>6</w:t>
            </w:r>
          </w:p>
        </w:tc>
      </w:tr>
      <w:tr w:rsidR="002D34B1" w:rsidRPr="002C797A" w:rsidTr="008F2FAE">
        <w:trPr>
          <w:trHeight w:val="315"/>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l</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off-site cost (j+k)</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2105.9</w:t>
            </w:r>
            <w:r w:rsidRPr="002C797A">
              <w:rPr>
                <w:color w:val="000000"/>
                <w:sz w:val="20"/>
                <w:szCs w:val="20"/>
                <w:lang w:val="id-ID"/>
              </w:rPr>
              <w:t>2</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m</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Pump (50 hp; 37.29 kW)</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3</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5000</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15</w:t>
            </w:r>
            <w:r w:rsidRPr="002C797A">
              <w:rPr>
                <w:color w:val="000000"/>
                <w:sz w:val="20"/>
                <w:szCs w:val="20"/>
                <w:lang w:val="id-ID"/>
              </w:rPr>
              <w:t>,</w:t>
            </w:r>
            <w:r w:rsidRPr="002C797A">
              <w:rPr>
                <w:color w:val="000000"/>
                <w:sz w:val="20"/>
                <w:szCs w:val="20"/>
              </w:rPr>
              <w:t>000</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n</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Aeration compressor (12 hp;8.95 kW)</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1</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2000</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2</w:t>
            </w:r>
            <w:r w:rsidRPr="002C797A">
              <w:rPr>
                <w:color w:val="000000"/>
                <w:sz w:val="20"/>
                <w:szCs w:val="20"/>
                <w:lang w:val="id-ID"/>
              </w:rPr>
              <w:t>,</w:t>
            </w:r>
            <w:r w:rsidRPr="002C797A">
              <w:rPr>
                <w:color w:val="000000"/>
                <w:sz w:val="20"/>
                <w:szCs w:val="20"/>
              </w:rPr>
              <w:t>000</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o</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Mixer (2 Hp; 1.49 kW)</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1</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1500</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1</w:t>
            </w:r>
            <w:r w:rsidRPr="002C797A">
              <w:rPr>
                <w:color w:val="000000"/>
                <w:sz w:val="20"/>
                <w:szCs w:val="20"/>
                <w:lang w:val="id-ID"/>
              </w:rPr>
              <w:t>,</w:t>
            </w:r>
            <w:r w:rsidRPr="002C797A">
              <w:rPr>
                <w:color w:val="000000"/>
                <w:sz w:val="20"/>
                <w:szCs w:val="20"/>
              </w:rPr>
              <w:t>500</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p</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Reactor</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2</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800</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1</w:t>
            </w:r>
            <w:r w:rsidRPr="002C797A">
              <w:rPr>
                <w:color w:val="000000"/>
                <w:sz w:val="20"/>
                <w:szCs w:val="20"/>
                <w:lang w:val="id-ID"/>
              </w:rPr>
              <w:t>,</w:t>
            </w:r>
            <w:r w:rsidRPr="002C797A">
              <w:rPr>
                <w:color w:val="000000"/>
                <w:sz w:val="20"/>
                <w:szCs w:val="20"/>
              </w:rPr>
              <w:t>600</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q</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Holding tank</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2</w:t>
            </w: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200</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400</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r</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Purchased equipment installation</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5% of</w:t>
            </w:r>
            <w:r w:rsidRPr="002C797A">
              <w:rPr>
                <w:color w:val="000000"/>
                <w:sz w:val="20"/>
                <w:szCs w:val="20"/>
                <w:lang w:val="id-ID"/>
              </w:rPr>
              <w:t xml:space="preserve"> </w:t>
            </w:r>
            <w:r w:rsidRPr="002C797A">
              <w:rPr>
                <w:color w:val="000000"/>
                <w:sz w:val="20"/>
                <w:szCs w:val="20"/>
              </w:rPr>
              <w:t>Cmembrane</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1052.9</w:t>
            </w:r>
            <w:r w:rsidRPr="002C797A">
              <w:rPr>
                <w:color w:val="000000"/>
                <w:sz w:val="20"/>
                <w:szCs w:val="20"/>
                <w:lang w:val="id-ID"/>
              </w:rPr>
              <w:t>6</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s</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Instrumentation and control</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5% of Cmembrane</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1052.9</w:t>
            </w:r>
            <w:r w:rsidRPr="002C797A">
              <w:rPr>
                <w:color w:val="000000"/>
                <w:sz w:val="20"/>
                <w:szCs w:val="20"/>
                <w:lang w:val="id-ID"/>
              </w:rPr>
              <w:t>6</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lastRenderedPageBreak/>
              <w:t>t</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Piping, fitting and controlled valve</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10% of Cmembrane</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2105.9</w:t>
            </w:r>
            <w:r w:rsidRPr="002C797A">
              <w:rPr>
                <w:color w:val="000000"/>
                <w:sz w:val="20"/>
                <w:szCs w:val="20"/>
                <w:lang w:val="id-ID"/>
              </w:rPr>
              <w:t>2</w:t>
            </w:r>
          </w:p>
        </w:tc>
      </w:tr>
      <w:tr w:rsidR="002D34B1" w:rsidRPr="002C797A" w:rsidTr="008F2FAE">
        <w:trPr>
          <w:trHeight w:val="315"/>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u</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on site cost (m+n+o+p+q+r+s+t)</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24711.8</w:t>
            </w:r>
            <w:r w:rsidRPr="002C797A">
              <w:rPr>
                <w:color w:val="000000"/>
                <w:sz w:val="20"/>
                <w:szCs w:val="20"/>
                <w:lang w:val="id-ID"/>
              </w:rPr>
              <w:t>3</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v</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Engineering and supervision</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5% of Cmembrane</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1052.9</w:t>
            </w:r>
            <w:r w:rsidRPr="002C797A">
              <w:rPr>
                <w:color w:val="000000"/>
                <w:sz w:val="20"/>
                <w:szCs w:val="20"/>
                <w:lang w:val="id-ID"/>
              </w:rPr>
              <w:t>6</w:t>
            </w:r>
          </w:p>
        </w:tc>
      </w:tr>
      <w:tr w:rsidR="002D34B1" w:rsidRPr="002C797A" w:rsidTr="008F2FAE">
        <w:trPr>
          <w:trHeight w:val="300"/>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w</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Contingency</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rPr>
                <w:color w:val="000000"/>
                <w:sz w:val="20"/>
                <w:szCs w:val="20"/>
              </w:rPr>
            </w:pPr>
            <w:r w:rsidRPr="002C797A">
              <w:rPr>
                <w:color w:val="000000"/>
                <w:sz w:val="20"/>
                <w:szCs w:val="20"/>
              </w:rPr>
              <w:t>5% of Cmembrane</w:t>
            </w: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lang w:val="id-ID"/>
              </w:rPr>
            </w:pPr>
            <w:r w:rsidRPr="002C797A">
              <w:rPr>
                <w:color w:val="000000"/>
                <w:sz w:val="20"/>
                <w:szCs w:val="20"/>
              </w:rPr>
              <w:t>1052.9</w:t>
            </w:r>
            <w:r w:rsidRPr="002C797A">
              <w:rPr>
                <w:color w:val="000000"/>
                <w:sz w:val="20"/>
                <w:szCs w:val="20"/>
                <w:lang w:val="id-ID"/>
              </w:rPr>
              <w:t>6</w:t>
            </w:r>
          </w:p>
        </w:tc>
      </w:tr>
      <w:tr w:rsidR="002D34B1" w:rsidRPr="002C797A" w:rsidTr="008F2FAE">
        <w:trPr>
          <w:trHeight w:val="315"/>
        </w:trPr>
        <w:tc>
          <w:tcPr>
            <w:tcW w:w="426"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x</w:t>
            </w:r>
          </w:p>
        </w:tc>
        <w:tc>
          <w:tcPr>
            <w:tcW w:w="4110" w:type="dxa"/>
            <w:tcBorders>
              <w:top w:val="nil"/>
              <w:left w:val="nil"/>
              <w:bottom w:val="nil"/>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indirect cost (v+w)</w:t>
            </w:r>
          </w:p>
        </w:tc>
        <w:tc>
          <w:tcPr>
            <w:tcW w:w="872"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680" w:type="dxa"/>
            <w:tcBorders>
              <w:top w:val="nil"/>
              <w:left w:val="nil"/>
              <w:bottom w:val="nil"/>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134" w:type="dxa"/>
            <w:tcBorders>
              <w:top w:val="nil"/>
              <w:left w:val="nil"/>
              <w:bottom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2105.9</w:t>
            </w:r>
            <w:r w:rsidRPr="002C797A">
              <w:rPr>
                <w:color w:val="000000"/>
                <w:sz w:val="20"/>
                <w:szCs w:val="20"/>
                <w:lang w:val="id-ID"/>
              </w:rPr>
              <w:t>2</w:t>
            </w:r>
          </w:p>
        </w:tc>
      </w:tr>
      <w:tr w:rsidR="002D34B1" w:rsidRPr="002C797A" w:rsidTr="008F2FAE">
        <w:trPr>
          <w:trHeight w:val="315"/>
        </w:trPr>
        <w:tc>
          <w:tcPr>
            <w:tcW w:w="426" w:type="dxa"/>
            <w:tcBorders>
              <w:top w:val="nil"/>
              <w:left w:val="nil"/>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y</w:t>
            </w:r>
          </w:p>
        </w:tc>
        <w:tc>
          <w:tcPr>
            <w:tcW w:w="4110" w:type="dxa"/>
            <w:tcBorders>
              <w:top w:val="nil"/>
              <w:left w:val="nil"/>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equipment capital (Cequipment) (l+u+x)</w:t>
            </w:r>
          </w:p>
        </w:tc>
        <w:tc>
          <w:tcPr>
            <w:tcW w:w="872" w:type="dxa"/>
            <w:tcBorders>
              <w:top w:val="nil"/>
              <w:left w:val="nil"/>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680" w:type="dxa"/>
            <w:tcBorders>
              <w:top w:val="nil"/>
              <w:left w:val="nil"/>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134" w:type="dxa"/>
            <w:tcBorders>
              <w:top w:val="nil"/>
              <w:left w:val="nil"/>
              <w:right w:val="nil"/>
            </w:tcBorders>
            <w:shd w:val="clear" w:color="auto" w:fill="auto"/>
            <w:noWrap/>
            <w:vAlign w:val="bottom"/>
            <w:hideMark/>
          </w:tcPr>
          <w:p w:rsidR="002D34B1" w:rsidRPr="002C797A" w:rsidRDefault="002D34B1" w:rsidP="008F2FAE">
            <w:pPr>
              <w:ind w:left="176" w:hanging="176"/>
              <w:jc w:val="right"/>
              <w:rPr>
                <w:color w:val="000000"/>
                <w:sz w:val="20"/>
                <w:szCs w:val="20"/>
              </w:rPr>
            </w:pPr>
            <w:r w:rsidRPr="002C797A">
              <w:rPr>
                <w:color w:val="000000"/>
                <w:sz w:val="20"/>
                <w:szCs w:val="20"/>
              </w:rPr>
              <w:t>47,876.91</w:t>
            </w:r>
          </w:p>
        </w:tc>
      </w:tr>
      <w:tr w:rsidR="002D34B1" w:rsidRPr="002C797A" w:rsidTr="008F2FAE">
        <w:trPr>
          <w:trHeight w:val="315"/>
        </w:trPr>
        <w:tc>
          <w:tcPr>
            <w:tcW w:w="426" w:type="dxa"/>
            <w:tcBorders>
              <w:top w:val="nil"/>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r w:rsidRPr="002C797A">
              <w:rPr>
                <w:color w:val="000000"/>
                <w:sz w:val="20"/>
                <w:szCs w:val="20"/>
              </w:rPr>
              <w:t>z</w:t>
            </w:r>
          </w:p>
        </w:tc>
        <w:tc>
          <w:tcPr>
            <w:tcW w:w="4110" w:type="dxa"/>
            <w:tcBorders>
              <w:top w:val="nil"/>
              <w:left w:val="nil"/>
              <w:bottom w:val="single" w:sz="4" w:space="0" w:color="auto"/>
              <w:right w:val="nil"/>
            </w:tcBorders>
            <w:shd w:val="clear" w:color="auto" w:fill="auto"/>
            <w:noWrap/>
            <w:vAlign w:val="bottom"/>
            <w:hideMark/>
          </w:tcPr>
          <w:p w:rsidR="002D34B1" w:rsidRPr="002C797A" w:rsidRDefault="002D34B1" w:rsidP="008F2FAE">
            <w:pPr>
              <w:rPr>
                <w:b/>
                <w:bCs/>
                <w:color w:val="000000"/>
                <w:sz w:val="20"/>
                <w:szCs w:val="20"/>
              </w:rPr>
            </w:pPr>
            <w:r w:rsidRPr="002C797A">
              <w:rPr>
                <w:b/>
                <w:bCs/>
                <w:color w:val="000000"/>
                <w:sz w:val="20"/>
                <w:szCs w:val="20"/>
              </w:rPr>
              <w:t>Total capital invesment (TCI) (h+y)</w:t>
            </w:r>
          </w:p>
        </w:tc>
        <w:tc>
          <w:tcPr>
            <w:tcW w:w="872" w:type="dxa"/>
            <w:tcBorders>
              <w:top w:val="nil"/>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680" w:type="dxa"/>
            <w:tcBorders>
              <w:top w:val="nil"/>
              <w:left w:val="nil"/>
              <w:bottom w:val="single" w:sz="4" w:space="0" w:color="auto"/>
              <w:right w:val="nil"/>
            </w:tcBorders>
            <w:shd w:val="clear" w:color="auto" w:fill="auto"/>
            <w:noWrap/>
            <w:vAlign w:val="bottom"/>
            <w:hideMark/>
          </w:tcPr>
          <w:p w:rsidR="002D34B1" w:rsidRPr="002C797A" w:rsidRDefault="002D34B1" w:rsidP="008F2FAE">
            <w:pPr>
              <w:ind w:left="176" w:hanging="176"/>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2D34B1" w:rsidRPr="002C797A" w:rsidRDefault="002D34B1" w:rsidP="008F2FAE">
            <w:pPr>
              <w:ind w:left="176" w:hanging="176"/>
              <w:jc w:val="right"/>
              <w:rPr>
                <w:b/>
                <w:bCs/>
                <w:color w:val="000000"/>
                <w:sz w:val="20"/>
                <w:szCs w:val="20"/>
              </w:rPr>
            </w:pPr>
            <w:r w:rsidRPr="002C797A">
              <w:rPr>
                <w:b/>
                <w:bCs/>
                <w:color w:val="000000"/>
                <w:sz w:val="20"/>
                <w:szCs w:val="20"/>
              </w:rPr>
              <w:t>68,936.07</w:t>
            </w:r>
          </w:p>
        </w:tc>
      </w:tr>
    </w:tbl>
    <w:p w:rsidR="002D34B1" w:rsidRDefault="002D34B1" w:rsidP="002D34B1">
      <w:pPr>
        <w:spacing w:line="360" w:lineRule="auto"/>
        <w:jc w:val="both"/>
        <w:rPr>
          <w:lang w:val="id-ID"/>
        </w:rPr>
      </w:pPr>
    </w:p>
    <w:p w:rsidR="002D34B1" w:rsidRDefault="002D34B1" w:rsidP="002D34B1">
      <w:pPr>
        <w:spacing w:line="360" w:lineRule="auto"/>
        <w:jc w:val="both"/>
        <w:rPr>
          <w:lang w:val="id-ID" w:eastAsia="ja-JP"/>
        </w:rPr>
      </w:pPr>
      <w:r>
        <w:rPr>
          <w:lang w:val="id-ID"/>
        </w:rPr>
        <w:tab/>
        <w:t>Total capital invesment to process 5 GPD of reuse water was calculated RM 68,936.07. The installed cost of equipment was adjusted to December 2011 using SRI’s Process economics program (PEP) cost indexes [19].</w:t>
      </w:r>
    </w:p>
    <w:p w:rsidR="002D34B1" w:rsidRDefault="002D34B1" w:rsidP="0019729F">
      <w:pPr>
        <w:spacing w:line="360" w:lineRule="auto"/>
        <w:jc w:val="both"/>
        <w:rPr>
          <w:lang w:val="id-ID"/>
        </w:rPr>
      </w:pPr>
    </w:p>
    <w:p w:rsidR="0019729F" w:rsidRPr="008D2F2C" w:rsidRDefault="0019729F" w:rsidP="0019729F">
      <w:pPr>
        <w:spacing w:line="360" w:lineRule="auto"/>
        <w:jc w:val="both"/>
        <w:rPr>
          <w:lang w:val="id-ID"/>
        </w:rPr>
      </w:pPr>
      <w:r w:rsidRPr="008D2F2C">
        <w:rPr>
          <w:b/>
          <w:lang w:val="id-ID"/>
        </w:rPr>
        <w:t xml:space="preserve">Table </w:t>
      </w:r>
      <w:r w:rsidR="002D34B1">
        <w:rPr>
          <w:b/>
          <w:lang w:val="id-ID"/>
        </w:rPr>
        <w:t>6</w:t>
      </w:r>
      <w:r>
        <w:rPr>
          <w:b/>
          <w:lang w:val="id-ID"/>
        </w:rPr>
        <w:t>.</w:t>
      </w:r>
      <w:r w:rsidRPr="008D2F2C">
        <w:rPr>
          <w:lang w:val="id-ID"/>
        </w:rPr>
        <w:t xml:space="preserve"> The operating and maintenance costs (B)</w:t>
      </w:r>
      <w:r>
        <w:rPr>
          <w:lang w:val="id-ID"/>
        </w:rPr>
        <w:t xml:space="preserve"> of reuse water production per year</w:t>
      </w:r>
    </w:p>
    <w:tbl>
      <w:tblPr>
        <w:tblW w:w="8095" w:type="dxa"/>
        <w:tblInd w:w="93" w:type="dxa"/>
        <w:tblLook w:val="04A0"/>
      </w:tblPr>
      <w:tblGrid>
        <w:gridCol w:w="461"/>
        <w:gridCol w:w="3827"/>
        <w:gridCol w:w="1134"/>
        <w:gridCol w:w="1397"/>
        <w:gridCol w:w="1316"/>
      </w:tblGrid>
      <w:tr w:rsidR="0019729F" w:rsidRPr="002C797A" w:rsidTr="008F2FAE">
        <w:trPr>
          <w:trHeight w:val="300"/>
        </w:trPr>
        <w:tc>
          <w:tcPr>
            <w:tcW w:w="461" w:type="dxa"/>
            <w:vMerge w:val="restart"/>
            <w:tcBorders>
              <w:top w:val="single" w:sz="4" w:space="0" w:color="auto"/>
              <w:left w:val="nil"/>
              <w:bottom w:val="single" w:sz="4" w:space="0" w:color="auto"/>
              <w:right w:val="nil"/>
            </w:tcBorders>
            <w:shd w:val="clear" w:color="auto" w:fill="auto"/>
            <w:noWrap/>
            <w:vAlign w:val="center"/>
            <w:hideMark/>
          </w:tcPr>
          <w:p w:rsidR="0019729F" w:rsidRPr="002C797A" w:rsidRDefault="0019729F" w:rsidP="008F2FAE">
            <w:pPr>
              <w:jc w:val="center"/>
              <w:rPr>
                <w:color w:val="000000"/>
                <w:sz w:val="20"/>
                <w:szCs w:val="20"/>
              </w:rPr>
            </w:pPr>
            <w:r w:rsidRPr="002C797A">
              <w:rPr>
                <w:color w:val="000000"/>
                <w:sz w:val="20"/>
                <w:szCs w:val="20"/>
              </w:rPr>
              <w:t>No</w:t>
            </w:r>
          </w:p>
        </w:tc>
        <w:tc>
          <w:tcPr>
            <w:tcW w:w="3827" w:type="dxa"/>
            <w:vMerge w:val="restart"/>
            <w:tcBorders>
              <w:top w:val="single" w:sz="4" w:space="0" w:color="auto"/>
              <w:left w:val="nil"/>
              <w:bottom w:val="single" w:sz="4" w:space="0" w:color="auto"/>
              <w:right w:val="nil"/>
            </w:tcBorders>
            <w:shd w:val="clear" w:color="auto" w:fill="auto"/>
            <w:noWrap/>
            <w:vAlign w:val="center"/>
            <w:hideMark/>
          </w:tcPr>
          <w:p w:rsidR="0019729F" w:rsidRPr="002C797A" w:rsidRDefault="0019729F" w:rsidP="008F2FAE">
            <w:pPr>
              <w:jc w:val="center"/>
              <w:rPr>
                <w:color w:val="000000"/>
                <w:sz w:val="20"/>
                <w:szCs w:val="20"/>
              </w:rPr>
            </w:pPr>
            <w:r w:rsidRPr="002C797A">
              <w:rPr>
                <w:color w:val="000000"/>
                <w:sz w:val="20"/>
                <w:szCs w:val="20"/>
              </w:rPr>
              <w:t>Item</w:t>
            </w:r>
          </w:p>
        </w:tc>
        <w:tc>
          <w:tcPr>
            <w:tcW w:w="1134" w:type="dxa"/>
            <w:vMerge w:val="restart"/>
            <w:tcBorders>
              <w:top w:val="single" w:sz="4" w:space="0" w:color="auto"/>
              <w:left w:val="nil"/>
              <w:bottom w:val="single" w:sz="4" w:space="0" w:color="auto"/>
              <w:right w:val="nil"/>
            </w:tcBorders>
            <w:shd w:val="clear" w:color="auto" w:fill="auto"/>
            <w:noWrap/>
            <w:vAlign w:val="center"/>
            <w:hideMark/>
          </w:tcPr>
          <w:p w:rsidR="0019729F" w:rsidRPr="002C797A" w:rsidRDefault="0019729F" w:rsidP="008F2FAE">
            <w:pPr>
              <w:jc w:val="center"/>
              <w:rPr>
                <w:color w:val="000000"/>
                <w:sz w:val="20"/>
                <w:szCs w:val="20"/>
              </w:rPr>
            </w:pPr>
            <w:r w:rsidRPr="002C797A">
              <w:rPr>
                <w:color w:val="000000"/>
                <w:sz w:val="20"/>
                <w:szCs w:val="20"/>
              </w:rPr>
              <w:t>Amount</w:t>
            </w:r>
          </w:p>
        </w:tc>
        <w:tc>
          <w:tcPr>
            <w:tcW w:w="2673" w:type="dxa"/>
            <w:gridSpan w:val="2"/>
            <w:tcBorders>
              <w:top w:val="single" w:sz="4" w:space="0" w:color="auto"/>
              <w:left w:val="nil"/>
              <w:bottom w:val="single" w:sz="4" w:space="0" w:color="auto"/>
              <w:right w:val="nil"/>
            </w:tcBorders>
            <w:shd w:val="clear" w:color="auto" w:fill="auto"/>
            <w:noWrap/>
            <w:vAlign w:val="bottom"/>
            <w:hideMark/>
          </w:tcPr>
          <w:p w:rsidR="0019729F" w:rsidRPr="002C797A" w:rsidRDefault="0019729F" w:rsidP="008F2FAE">
            <w:pPr>
              <w:jc w:val="center"/>
              <w:rPr>
                <w:color w:val="000000"/>
                <w:sz w:val="20"/>
                <w:szCs w:val="20"/>
              </w:rPr>
            </w:pPr>
            <w:r w:rsidRPr="002C797A">
              <w:rPr>
                <w:color w:val="000000"/>
                <w:sz w:val="20"/>
                <w:szCs w:val="20"/>
              </w:rPr>
              <w:t>Purchasing cost (RM)</w:t>
            </w:r>
          </w:p>
        </w:tc>
      </w:tr>
      <w:tr w:rsidR="0019729F" w:rsidRPr="002C797A" w:rsidTr="008F2FAE">
        <w:trPr>
          <w:trHeight w:val="300"/>
        </w:trPr>
        <w:tc>
          <w:tcPr>
            <w:tcW w:w="461" w:type="dxa"/>
            <w:vMerge/>
            <w:tcBorders>
              <w:top w:val="single" w:sz="4" w:space="0" w:color="auto"/>
              <w:left w:val="nil"/>
              <w:bottom w:val="single" w:sz="4" w:space="0" w:color="auto"/>
              <w:right w:val="nil"/>
            </w:tcBorders>
            <w:shd w:val="clear" w:color="auto" w:fill="auto"/>
            <w:noWrap/>
            <w:vAlign w:val="bottom"/>
            <w:hideMark/>
          </w:tcPr>
          <w:p w:rsidR="0019729F" w:rsidRPr="002C797A" w:rsidRDefault="0019729F" w:rsidP="008F2FAE">
            <w:pPr>
              <w:rPr>
                <w:color w:val="000000"/>
                <w:sz w:val="20"/>
                <w:szCs w:val="20"/>
              </w:rPr>
            </w:pPr>
          </w:p>
        </w:tc>
        <w:tc>
          <w:tcPr>
            <w:tcW w:w="3827" w:type="dxa"/>
            <w:vMerge/>
            <w:tcBorders>
              <w:top w:val="single" w:sz="4" w:space="0" w:color="auto"/>
              <w:left w:val="nil"/>
              <w:bottom w:val="single" w:sz="4" w:space="0" w:color="auto"/>
              <w:right w:val="nil"/>
            </w:tcBorders>
            <w:shd w:val="clear" w:color="auto" w:fill="auto"/>
            <w:noWrap/>
            <w:vAlign w:val="bottom"/>
            <w:hideMark/>
          </w:tcPr>
          <w:p w:rsidR="0019729F" w:rsidRPr="002C797A" w:rsidRDefault="0019729F" w:rsidP="008F2FAE">
            <w:pPr>
              <w:rPr>
                <w:color w:val="000000"/>
                <w:sz w:val="20"/>
                <w:szCs w:val="20"/>
              </w:rPr>
            </w:pPr>
          </w:p>
        </w:tc>
        <w:tc>
          <w:tcPr>
            <w:tcW w:w="1134" w:type="dxa"/>
            <w:vMerge/>
            <w:tcBorders>
              <w:top w:val="single" w:sz="4" w:space="0" w:color="auto"/>
              <w:left w:val="nil"/>
              <w:bottom w:val="single" w:sz="4" w:space="0" w:color="auto"/>
              <w:right w:val="nil"/>
            </w:tcBorders>
            <w:shd w:val="clear" w:color="auto" w:fill="auto"/>
            <w:noWrap/>
            <w:vAlign w:val="bottom"/>
            <w:hideMark/>
          </w:tcPr>
          <w:p w:rsidR="0019729F" w:rsidRPr="002C797A" w:rsidRDefault="0019729F" w:rsidP="008F2FAE">
            <w:pPr>
              <w:rPr>
                <w:color w:val="000000"/>
                <w:sz w:val="20"/>
                <w:szCs w:val="20"/>
              </w:rPr>
            </w:pPr>
          </w:p>
        </w:tc>
        <w:tc>
          <w:tcPr>
            <w:tcW w:w="1397" w:type="dxa"/>
            <w:vMerge w:val="restart"/>
            <w:tcBorders>
              <w:top w:val="single" w:sz="4" w:space="0" w:color="auto"/>
              <w:left w:val="nil"/>
              <w:bottom w:val="single" w:sz="4" w:space="0" w:color="auto"/>
              <w:right w:val="nil"/>
            </w:tcBorders>
            <w:shd w:val="clear" w:color="auto" w:fill="auto"/>
            <w:noWrap/>
            <w:vAlign w:val="bottom"/>
            <w:hideMark/>
          </w:tcPr>
          <w:p w:rsidR="0019729F" w:rsidRPr="002C797A" w:rsidRDefault="0019729F" w:rsidP="008F2FAE">
            <w:pPr>
              <w:jc w:val="center"/>
              <w:rPr>
                <w:color w:val="000000"/>
                <w:sz w:val="20"/>
                <w:szCs w:val="20"/>
              </w:rPr>
            </w:pPr>
            <w:r w:rsidRPr="002C797A">
              <w:rPr>
                <w:color w:val="000000"/>
                <w:sz w:val="20"/>
                <w:szCs w:val="20"/>
              </w:rPr>
              <w:t>RM/unit/kW hr/L</w:t>
            </w:r>
          </w:p>
        </w:tc>
        <w:tc>
          <w:tcPr>
            <w:tcW w:w="1276" w:type="dxa"/>
            <w:vMerge w:val="restart"/>
            <w:tcBorders>
              <w:top w:val="single" w:sz="4" w:space="0" w:color="auto"/>
              <w:left w:val="nil"/>
              <w:bottom w:val="single" w:sz="4" w:space="0" w:color="auto"/>
              <w:right w:val="nil"/>
            </w:tcBorders>
            <w:shd w:val="clear" w:color="auto" w:fill="auto"/>
            <w:noWrap/>
            <w:vAlign w:val="bottom"/>
            <w:hideMark/>
          </w:tcPr>
          <w:p w:rsidR="0019729F" w:rsidRPr="000C16EF" w:rsidRDefault="0019729F" w:rsidP="008F2FAE">
            <w:pPr>
              <w:jc w:val="center"/>
              <w:rPr>
                <w:color w:val="000000"/>
                <w:sz w:val="20"/>
                <w:szCs w:val="20"/>
                <w:lang w:val="id-ID"/>
              </w:rPr>
            </w:pPr>
            <w:r w:rsidRPr="002C797A">
              <w:rPr>
                <w:color w:val="000000"/>
                <w:sz w:val="20"/>
                <w:szCs w:val="20"/>
              </w:rPr>
              <w:t>Cost</w:t>
            </w:r>
            <w:r>
              <w:rPr>
                <w:color w:val="000000"/>
                <w:sz w:val="20"/>
                <w:szCs w:val="20"/>
                <w:lang w:val="id-ID"/>
              </w:rPr>
              <w:t>/year</w:t>
            </w:r>
          </w:p>
        </w:tc>
      </w:tr>
      <w:tr w:rsidR="0019729F" w:rsidRPr="002C797A" w:rsidTr="008F2FAE">
        <w:trPr>
          <w:trHeight w:val="300"/>
        </w:trPr>
        <w:tc>
          <w:tcPr>
            <w:tcW w:w="461" w:type="dxa"/>
            <w:tcBorders>
              <w:top w:val="single" w:sz="4" w:space="0" w:color="auto"/>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3827" w:type="dxa"/>
            <w:tcBorders>
              <w:top w:val="single" w:sz="4" w:space="0" w:color="auto"/>
              <w:left w:val="nil"/>
              <w:bottom w:val="nil"/>
              <w:right w:val="nil"/>
            </w:tcBorders>
            <w:shd w:val="clear" w:color="auto" w:fill="auto"/>
            <w:noWrap/>
            <w:vAlign w:val="bottom"/>
            <w:hideMark/>
          </w:tcPr>
          <w:p w:rsidR="0019729F" w:rsidRPr="002C797A" w:rsidRDefault="0019729F" w:rsidP="008F2FAE">
            <w:pPr>
              <w:rPr>
                <w:color w:val="000000"/>
                <w:sz w:val="20"/>
                <w:szCs w:val="20"/>
              </w:rPr>
            </w:pPr>
            <w:r w:rsidRPr="002C797A">
              <w:rPr>
                <w:color w:val="000000"/>
                <w:sz w:val="20"/>
                <w:szCs w:val="20"/>
              </w:rPr>
              <w:t>Operating costs</w:t>
            </w:r>
          </w:p>
        </w:tc>
        <w:tc>
          <w:tcPr>
            <w:tcW w:w="1134" w:type="dxa"/>
            <w:vMerge/>
            <w:tcBorders>
              <w:top w:val="single" w:sz="4" w:space="0" w:color="auto"/>
              <w:left w:val="nil"/>
              <w:bottom w:val="single" w:sz="4" w:space="0" w:color="auto"/>
              <w:right w:val="nil"/>
            </w:tcBorders>
            <w:shd w:val="clear" w:color="auto" w:fill="auto"/>
            <w:noWrap/>
            <w:vAlign w:val="bottom"/>
            <w:hideMark/>
          </w:tcPr>
          <w:p w:rsidR="0019729F" w:rsidRPr="002C797A" w:rsidRDefault="0019729F" w:rsidP="008F2FAE">
            <w:pPr>
              <w:rPr>
                <w:color w:val="000000"/>
                <w:sz w:val="20"/>
                <w:szCs w:val="20"/>
              </w:rPr>
            </w:pPr>
          </w:p>
        </w:tc>
        <w:tc>
          <w:tcPr>
            <w:tcW w:w="1397" w:type="dxa"/>
            <w:vMerge/>
            <w:tcBorders>
              <w:left w:val="nil"/>
              <w:bottom w:val="single" w:sz="4" w:space="0" w:color="auto"/>
              <w:right w:val="nil"/>
            </w:tcBorders>
            <w:shd w:val="clear" w:color="auto" w:fill="auto"/>
            <w:noWrap/>
            <w:vAlign w:val="bottom"/>
            <w:hideMark/>
          </w:tcPr>
          <w:p w:rsidR="0019729F" w:rsidRPr="002C797A" w:rsidRDefault="0019729F" w:rsidP="008F2FAE">
            <w:pPr>
              <w:rPr>
                <w:color w:val="000000"/>
                <w:sz w:val="20"/>
                <w:szCs w:val="20"/>
              </w:rPr>
            </w:pPr>
          </w:p>
        </w:tc>
        <w:tc>
          <w:tcPr>
            <w:tcW w:w="1276" w:type="dxa"/>
            <w:vMerge/>
            <w:tcBorders>
              <w:left w:val="nil"/>
              <w:bottom w:val="single" w:sz="4" w:space="0" w:color="auto"/>
              <w:right w:val="nil"/>
            </w:tcBorders>
            <w:shd w:val="clear" w:color="auto" w:fill="auto"/>
            <w:noWrap/>
            <w:vAlign w:val="bottom"/>
            <w:hideMark/>
          </w:tcPr>
          <w:p w:rsidR="0019729F" w:rsidRPr="002C797A" w:rsidRDefault="0019729F" w:rsidP="008F2FAE">
            <w:pPr>
              <w:rPr>
                <w:color w:val="000000"/>
                <w:sz w:val="20"/>
                <w:szCs w:val="20"/>
              </w:rPr>
            </w:pPr>
          </w:p>
        </w:tc>
      </w:tr>
      <w:tr w:rsidR="0019729F" w:rsidRPr="002C797A" w:rsidTr="008F2FAE">
        <w:trPr>
          <w:trHeight w:val="300"/>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r w:rsidRPr="002C797A">
              <w:rPr>
                <w:color w:val="000000"/>
                <w:sz w:val="20"/>
                <w:szCs w:val="20"/>
              </w:rPr>
              <w:t>a</w:t>
            </w:r>
          </w:p>
        </w:tc>
        <w:tc>
          <w:tcPr>
            <w:tcW w:w="3827" w:type="dxa"/>
            <w:tcBorders>
              <w:top w:val="nil"/>
              <w:left w:val="nil"/>
              <w:bottom w:val="nil"/>
              <w:right w:val="nil"/>
            </w:tcBorders>
            <w:shd w:val="clear" w:color="auto" w:fill="auto"/>
            <w:noWrap/>
            <w:hideMark/>
          </w:tcPr>
          <w:p w:rsidR="0019729F" w:rsidRPr="002C797A" w:rsidRDefault="0019729F" w:rsidP="008F2FAE">
            <w:pPr>
              <w:rPr>
                <w:color w:val="000000"/>
                <w:sz w:val="20"/>
                <w:szCs w:val="20"/>
              </w:rPr>
            </w:pPr>
            <w:r w:rsidRPr="002C797A">
              <w:rPr>
                <w:color w:val="000000"/>
                <w:sz w:val="20"/>
                <w:szCs w:val="20"/>
              </w:rPr>
              <w:t>Utilities power (pump+mixer+compressor)</w:t>
            </w:r>
          </w:p>
        </w:tc>
        <w:tc>
          <w:tcPr>
            <w:tcW w:w="1134" w:type="dxa"/>
            <w:tcBorders>
              <w:top w:val="single" w:sz="4" w:space="0" w:color="auto"/>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267,858.90</w:t>
            </w:r>
          </w:p>
        </w:tc>
        <w:tc>
          <w:tcPr>
            <w:tcW w:w="1397" w:type="dxa"/>
            <w:tcBorders>
              <w:top w:val="single" w:sz="4" w:space="0" w:color="auto"/>
              <w:left w:val="nil"/>
              <w:bottom w:val="nil"/>
              <w:right w:val="nil"/>
            </w:tcBorders>
            <w:shd w:val="clear" w:color="auto" w:fill="auto"/>
            <w:noWrap/>
            <w:vAlign w:val="bottom"/>
            <w:hideMark/>
          </w:tcPr>
          <w:p w:rsidR="0019729F" w:rsidRPr="002C797A" w:rsidRDefault="0019729F" w:rsidP="008F2FAE">
            <w:pPr>
              <w:rPr>
                <w:color w:val="000000"/>
                <w:sz w:val="20"/>
                <w:szCs w:val="20"/>
              </w:rPr>
            </w:pPr>
            <w:r w:rsidRPr="002C797A">
              <w:rPr>
                <w:color w:val="000000"/>
                <w:sz w:val="20"/>
                <w:szCs w:val="20"/>
              </w:rPr>
              <w:t>0.0198</w:t>
            </w:r>
          </w:p>
        </w:tc>
        <w:tc>
          <w:tcPr>
            <w:tcW w:w="1276" w:type="dxa"/>
            <w:tcBorders>
              <w:top w:val="single" w:sz="4" w:space="0" w:color="auto"/>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5303.60622</w:t>
            </w:r>
          </w:p>
        </w:tc>
      </w:tr>
      <w:tr w:rsidR="0019729F" w:rsidRPr="002C797A" w:rsidTr="008F2FAE">
        <w:trPr>
          <w:trHeight w:val="300"/>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p>
        </w:tc>
        <w:tc>
          <w:tcPr>
            <w:tcW w:w="3827" w:type="dxa"/>
            <w:tcBorders>
              <w:top w:val="nil"/>
              <w:left w:val="nil"/>
              <w:bottom w:val="nil"/>
              <w:right w:val="nil"/>
            </w:tcBorders>
            <w:shd w:val="clear" w:color="auto" w:fill="auto"/>
            <w:noWrap/>
            <w:hideMark/>
          </w:tcPr>
          <w:p w:rsidR="0019729F" w:rsidRPr="002C797A" w:rsidRDefault="0019729F" w:rsidP="008F2FAE">
            <w:pPr>
              <w:rPr>
                <w:color w:val="000000"/>
                <w:sz w:val="20"/>
                <w:szCs w:val="20"/>
              </w:rPr>
            </w:pPr>
            <w:r w:rsidRPr="002C797A">
              <w:rPr>
                <w:color w:val="000000"/>
                <w:sz w:val="20"/>
                <w:szCs w:val="20"/>
              </w:rPr>
              <w:t xml:space="preserve">37.29+37.29+37.29+8.95+1.49=122.31 kW x 6 hr= 733.86 kW hr); </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jc w:val="center"/>
              <w:rPr>
                <w:color w:val="000000"/>
                <w:sz w:val="20"/>
                <w:szCs w:val="20"/>
              </w:rPr>
            </w:pPr>
            <w:r w:rsidRPr="002C797A">
              <w:rPr>
                <w:color w:val="000000"/>
                <w:sz w:val="20"/>
                <w:szCs w:val="20"/>
              </w:rPr>
              <w:t>kW</w:t>
            </w:r>
            <w:r w:rsidRPr="002C797A">
              <w:rPr>
                <w:color w:val="000000"/>
                <w:sz w:val="20"/>
                <w:szCs w:val="20"/>
                <w:lang w:val="id-ID"/>
              </w:rPr>
              <w:t xml:space="preserve"> h</w:t>
            </w:r>
            <w:r w:rsidRPr="002C797A">
              <w:rPr>
                <w:color w:val="000000"/>
                <w:sz w:val="20"/>
                <w:szCs w:val="20"/>
              </w:rPr>
              <w:t>r/year</w:t>
            </w: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276"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r>
      <w:tr w:rsidR="0019729F" w:rsidRPr="002C797A" w:rsidTr="008F2FAE">
        <w:trPr>
          <w:trHeight w:val="300"/>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p>
        </w:tc>
        <w:tc>
          <w:tcPr>
            <w:tcW w:w="3827" w:type="dxa"/>
            <w:tcBorders>
              <w:top w:val="nil"/>
              <w:left w:val="nil"/>
              <w:bottom w:val="nil"/>
              <w:right w:val="nil"/>
            </w:tcBorders>
            <w:shd w:val="clear" w:color="auto" w:fill="auto"/>
            <w:noWrap/>
            <w:hideMark/>
          </w:tcPr>
          <w:p w:rsidR="0019729F" w:rsidRPr="002C797A" w:rsidRDefault="0019729F" w:rsidP="008F2FAE">
            <w:pPr>
              <w:rPr>
                <w:color w:val="000000"/>
                <w:sz w:val="20"/>
                <w:szCs w:val="20"/>
              </w:rPr>
            </w:pPr>
            <w:r w:rsidRPr="002C797A">
              <w:rPr>
                <w:color w:val="000000"/>
                <w:sz w:val="20"/>
                <w:szCs w:val="20"/>
              </w:rPr>
              <w:t>733.86 kW x 365 = 267,858.9 kW hr/year</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276"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r>
      <w:tr w:rsidR="0019729F" w:rsidRPr="002C797A" w:rsidTr="008F2FAE">
        <w:trPr>
          <w:trHeight w:val="300"/>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r w:rsidRPr="002C797A">
              <w:rPr>
                <w:color w:val="000000"/>
                <w:sz w:val="20"/>
                <w:szCs w:val="20"/>
              </w:rPr>
              <w:t>b</w:t>
            </w:r>
          </w:p>
        </w:tc>
        <w:tc>
          <w:tcPr>
            <w:tcW w:w="3827" w:type="dxa"/>
            <w:tcBorders>
              <w:top w:val="nil"/>
              <w:left w:val="nil"/>
              <w:bottom w:val="nil"/>
              <w:right w:val="nil"/>
            </w:tcBorders>
            <w:shd w:val="clear" w:color="auto" w:fill="auto"/>
            <w:noWrap/>
            <w:hideMark/>
          </w:tcPr>
          <w:p w:rsidR="0019729F" w:rsidRPr="002C797A" w:rsidRDefault="0019729F" w:rsidP="008F2FAE">
            <w:pPr>
              <w:rPr>
                <w:color w:val="000000"/>
                <w:sz w:val="20"/>
                <w:szCs w:val="20"/>
              </w:rPr>
            </w:pPr>
            <w:r w:rsidRPr="002C797A">
              <w:rPr>
                <w:color w:val="000000"/>
                <w:sz w:val="20"/>
                <w:szCs w:val="20"/>
              </w:rPr>
              <w:t>Labor costs (500/month; average 8 hr/day)</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1</w:t>
            </w: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r w:rsidRPr="002C797A">
              <w:rPr>
                <w:color w:val="000000"/>
                <w:sz w:val="20"/>
                <w:szCs w:val="20"/>
              </w:rPr>
              <w:t>16.6</w:t>
            </w:r>
          </w:p>
        </w:tc>
        <w:tc>
          <w:tcPr>
            <w:tcW w:w="1276" w:type="dxa"/>
            <w:tcBorders>
              <w:top w:val="nil"/>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16.6</w:t>
            </w:r>
          </w:p>
        </w:tc>
      </w:tr>
      <w:tr w:rsidR="0019729F" w:rsidRPr="002C797A" w:rsidTr="008F2FAE">
        <w:trPr>
          <w:trHeight w:val="300"/>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r w:rsidRPr="002C797A">
              <w:rPr>
                <w:color w:val="000000"/>
                <w:sz w:val="20"/>
                <w:szCs w:val="20"/>
              </w:rPr>
              <w:t>c</w:t>
            </w:r>
          </w:p>
        </w:tc>
        <w:tc>
          <w:tcPr>
            <w:tcW w:w="3827" w:type="dxa"/>
            <w:tcBorders>
              <w:top w:val="nil"/>
              <w:left w:val="nil"/>
              <w:bottom w:val="nil"/>
              <w:right w:val="nil"/>
            </w:tcBorders>
            <w:shd w:val="clear" w:color="auto" w:fill="auto"/>
            <w:noWrap/>
            <w:hideMark/>
          </w:tcPr>
          <w:p w:rsidR="0019729F" w:rsidRPr="002C797A" w:rsidRDefault="0019729F" w:rsidP="008F2FAE">
            <w:pPr>
              <w:rPr>
                <w:color w:val="000000"/>
                <w:sz w:val="20"/>
                <w:szCs w:val="20"/>
              </w:rPr>
            </w:pPr>
            <w:r w:rsidRPr="002C797A">
              <w:rPr>
                <w:color w:val="000000"/>
                <w:sz w:val="20"/>
                <w:szCs w:val="20"/>
              </w:rPr>
              <w:t>Cleaning costs</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830.3</w:t>
            </w: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r w:rsidRPr="002C797A">
              <w:rPr>
                <w:color w:val="000000"/>
                <w:sz w:val="20"/>
                <w:szCs w:val="20"/>
              </w:rPr>
              <w:t>4</w:t>
            </w:r>
          </w:p>
        </w:tc>
        <w:tc>
          <w:tcPr>
            <w:tcW w:w="1276" w:type="dxa"/>
            <w:tcBorders>
              <w:top w:val="nil"/>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3321.2</w:t>
            </w:r>
          </w:p>
        </w:tc>
      </w:tr>
      <w:tr w:rsidR="0019729F" w:rsidRPr="002C797A" w:rsidTr="008F2FAE">
        <w:trPr>
          <w:trHeight w:val="300"/>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r w:rsidRPr="002C797A">
              <w:rPr>
                <w:color w:val="000000"/>
                <w:sz w:val="20"/>
                <w:szCs w:val="20"/>
              </w:rPr>
              <w:t>e</w:t>
            </w:r>
          </w:p>
        </w:tc>
        <w:tc>
          <w:tcPr>
            <w:tcW w:w="3827" w:type="dxa"/>
            <w:tcBorders>
              <w:top w:val="nil"/>
              <w:left w:val="nil"/>
              <w:bottom w:val="nil"/>
              <w:right w:val="nil"/>
            </w:tcBorders>
            <w:shd w:val="clear" w:color="auto" w:fill="auto"/>
            <w:noWrap/>
            <w:hideMark/>
          </w:tcPr>
          <w:p w:rsidR="0019729F" w:rsidRPr="002C797A" w:rsidRDefault="0019729F" w:rsidP="008F2FAE">
            <w:pPr>
              <w:rPr>
                <w:color w:val="000000"/>
                <w:sz w:val="20"/>
                <w:szCs w:val="20"/>
              </w:rPr>
            </w:pPr>
            <w:r w:rsidRPr="002C797A">
              <w:rPr>
                <w:color w:val="000000"/>
                <w:sz w:val="20"/>
                <w:szCs w:val="20"/>
              </w:rPr>
              <w:t>NaOH consumption</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825</w:t>
            </w: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r w:rsidRPr="002C797A">
              <w:rPr>
                <w:color w:val="000000"/>
                <w:sz w:val="20"/>
                <w:szCs w:val="20"/>
              </w:rPr>
              <w:t>8</w:t>
            </w:r>
          </w:p>
        </w:tc>
        <w:tc>
          <w:tcPr>
            <w:tcW w:w="1276" w:type="dxa"/>
            <w:tcBorders>
              <w:top w:val="nil"/>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6600</w:t>
            </w:r>
          </w:p>
        </w:tc>
      </w:tr>
      <w:tr w:rsidR="0019729F" w:rsidRPr="002C797A" w:rsidTr="008F2FAE">
        <w:trPr>
          <w:trHeight w:val="315"/>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r w:rsidRPr="002C797A">
              <w:rPr>
                <w:color w:val="000000"/>
                <w:sz w:val="20"/>
                <w:szCs w:val="20"/>
              </w:rPr>
              <w:t>f</w:t>
            </w:r>
          </w:p>
        </w:tc>
        <w:tc>
          <w:tcPr>
            <w:tcW w:w="3827" w:type="dxa"/>
            <w:tcBorders>
              <w:top w:val="nil"/>
              <w:left w:val="nil"/>
              <w:bottom w:val="nil"/>
              <w:right w:val="nil"/>
            </w:tcBorders>
            <w:shd w:val="clear" w:color="auto" w:fill="auto"/>
            <w:noWrap/>
            <w:hideMark/>
          </w:tcPr>
          <w:p w:rsidR="0019729F" w:rsidRPr="002C797A" w:rsidRDefault="0019729F" w:rsidP="008F2FAE">
            <w:pPr>
              <w:rPr>
                <w:b/>
                <w:bCs/>
                <w:color w:val="000000"/>
                <w:sz w:val="20"/>
                <w:szCs w:val="20"/>
              </w:rPr>
            </w:pPr>
            <w:r w:rsidRPr="002C797A">
              <w:rPr>
                <w:b/>
                <w:bCs/>
                <w:color w:val="000000"/>
                <w:sz w:val="20"/>
                <w:szCs w:val="20"/>
              </w:rPr>
              <w:t>Total chemicals costs (c+d+e)</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276" w:type="dxa"/>
            <w:tcBorders>
              <w:top w:val="nil"/>
              <w:left w:val="nil"/>
              <w:bottom w:val="nil"/>
              <w:right w:val="nil"/>
            </w:tcBorders>
            <w:shd w:val="clear" w:color="auto" w:fill="auto"/>
            <w:noWrap/>
            <w:vAlign w:val="bottom"/>
            <w:hideMark/>
          </w:tcPr>
          <w:p w:rsidR="0019729F" w:rsidRPr="002C797A" w:rsidRDefault="0019729F" w:rsidP="008F2FAE">
            <w:pPr>
              <w:jc w:val="right"/>
              <w:rPr>
                <w:b/>
                <w:bCs/>
                <w:color w:val="000000"/>
                <w:sz w:val="20"/>
                <w:szCs w:val="20"/>
              </w:rPr>
            </w:pPr>
            <w:r w:rsidRPr="002C797A">
              <w:rPr>
                <w:b/>
                <w:bCs/>
                <w:color w:val="000000"/>
                <w:sz w:val="20"/>
                <w:szCs w:val="20"/>
              </w:rPr>
              <w:t>15</w:t>
            </w:r>
            <w:r w:rsidRPr="002C797A">
              <w:rPr>
                <w:b/>
                <w:bCs/>
                <w:color w:val="000000"/>
                <w:sz w:val="20"/>
                <w:szCs w:val="20"/>
                <w:lang w:val="id-ID"/>
              </w:rPr>
              <w:t>,</w:t>
            </w:r>
            <w:r w:rsidRPr="002C797A">
              <w:rPr>
                <w:b/>
                <w:bCs/>
                <w:color w:val="000000"/>
                <w:sz w:val="20"/>
                <w:szCs w:val="20"/>
              </w:rPr>
              <w:t>241.40622</w:t>
            </w:r>
          </w:p>
        </w:tc>
      </w:tr>
      <w:tr w:rsidR="0019729F" w:rsidRPr="002C797A" w:rsidTr="008F2FAE">
        <w:trPr>
          <w:trHeight w:val="300"/>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r w:rsidRPr="002C797A">
              <w:rPr>
                <w:color w:val="000000"/>
                <w:sz w:val="20"/>
                <w:szCs w:val="20"/>
              </w:rPr>
              <w:t>g</w:t>
            </w:r>
          </w:p>
        </w:tc>
        <w:tc>
          <w:tcPr>
            <w:tcW w:w="3827" w:type="dxa"/>
            <w:tcBorders>
              <w:top w:val="nil"/>
              <w:left w:val="nil"/>
              <w:bottom w:val="nil"/>
              <w:right w:val="nil"/>
            </w:tcBorders>
            <w:shd w:val="clear" w:color="auto" w:fill="auto"/>
            <w:noWrap/>
            <w:hideMark/>
          </w:tcPr>
          <w:p w:rsidR="0019729F" w:rsidRPr="002C797A" w:rsidRDefault="0019729F" w:rsidP="008F2FAE">
            <w:pPr>
              <w:rPr>
                <w:color w:val="000000"/>
                <w:sz w:val="20"/>
                <w:szCs w:val="20"/>
              </w:rPr>
            </w:pPr>
            <w:r w:rsidRPr="002C797A">
              <w:rPr>
                <w:color w:val="000000"/>
                <w:sz w:val="20"/>
                <w:szCs w:val="20"/>
              </w:rPr>
              <w:t>Maintenance cost</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r w:rsidRPr="002C797A">
              <w:rPr>
                <w:color w:val="000000"/>
                <w:sz w:val="20"/>
                <w:szCs w:val="20"/>
              </w:rPr>
              <w:t>2 % of TCI</w:t>
            </w:r>
          </w:p>
        </w:tc>
        <w:tc>
          <w:tcPr>
            <w:tcW w:w="1276" w:type="dxa"/>
            <w:tcBorders>
              <w:top w:val="nil"/>
              <w:left w:val="nil"/>
              <w:bottom w:val="nil"/>
              <w:right w:val="nil"/>
            </w:tcBorders>
            <w:shd w:val="clear" w:color="auto" w:fill="auto"/>
            <w:noWrap/>
            <w:vAlign w:val="bottom"/>
            <w:hideMark/>
          </w:tcPr>
          <w:p w:rsidR="0019729F" w:rsidRPr="002C797A" w:rsidRDefault="0019729F" w:rsidP="008F2FAE">
            <w:pPr>
              <w:jc w:val="right"/>
              <w:rPr>
                <w:color w:val="000000"/>
                <w:sz w:val="20"/>
                <w:szCs w:val="20"/>
              </w:rPr>
            </w:pPr>
            <w:r w:rsidRPr="002C797A">
              <w:rPr>
                <w:color w:val="000000"/>
                <w:sz w:val="20"/>
                <w:szCs w:val="20"/>
              </w:rPr>
              <w:t>1378.721465</w:t>
            </w:r>
          </w:p>
        </w:tc>
      </w:tr>
      <w:tr w:rsidR="0019729F" w:rsidRPr="002C797A" w:rsidTr="008F2FAE">
        <w:trPr>
          <w:trHeight w:val="375"/>
        </w:trPr>
        <w:tc>
          <w:tcPr>
            <w:tcW w:w="461" w:type="dxa"/>
            <w:tcBorders>
              <w:top w:val="nil"/>
              <w:left w:val="nil"/>
              <w:bottom w:val="nil"/>
              <w:right w:val="nil"/>
            </w:tcBorders>
            <w:shd w:val="clear" w:color="auto" w:fill="auto"/>
            <w:noWrap/>
            <w:hideMark/>
          </w:tcPr>
          <w:p w:rsidR="0019729F" w:rsidRPr="002C797A" w:rsidRDefault="0019729F" w:rsidP="008F2FAE">
            <w:pPr>
              <w:jc w:val="center"/>
              <w:rPr>
                <w:color w:val="000000"/>
                <w:sz w:val="20"/>
                <w:szCs w:val="20"/>
              </w:rPr>
            </w:pPr>
            <w:r w:rsidRPr="002C797A">
              <w:rPr>
                <w:color w:val="000000"/>
                <w:sz w:val="20"/>
                <w:szCs w:val="20"/>
              </w:rPr>
              <w:t>h</w:t>
            </w:r>
          </w:p>
        </w:tc>
        <w:tc>
          <w:tcPr>
            <w:tcW w:w="3827" w:type="dxa"/>
            <w:tcBorders>
              <w:top w:val="nil"/>
              <w:left w:val="nil"/>
              <w:bottom w:val="nil"/>
              <w:right w:val="nil"/>
            </w:tcBorders>
            <w:shd w:val="clear" w:color="auto" w:fill="auto"/>
            <w:noWrap/>
            <w:hideMark/>
          </w:tcPr>
          <w:p w:rsidR="0019729F" w:rsidRPr="002C797A" w:rsidRDefault="0019729F" w:rsidP="008F2FAE">
            <w:pPr>
              <w:rPr>
                <w:b/>
                <w:bCs/>
                <w:color w:val="000000"/>
                <w:sz w:val="20"/>
                <w:szCs w:val="20"/>
              </w:rPr>
            </w:pPr>
            <w:r w:rsidRPr="002C797A">
              <w:rPr>
                <w:b/>
                <w:bCs/>
                <w:color w:val="000000"/>
                <w:sz w:val="20"/>
                <w:szCs w:val="20"/>
              </w:rPr>
              <w:t>Total O&amp;M costs (a+b+f+g)</w:t>
            </w:r>
          </w:p>
        </w:tc>
        <w:tc>
          <w:tcPr>
            <w:tcW w:w="1134"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397" w:type="dxa"/>
            <w:tcBorders>
              <w:top w:val="nil"/>
              <w:left w:val="nil"/>
              <w:bottom w:val="nil"/>
              <w:right w:val="nil"/>
            </w:tcBorders>
            <w:shd w:val="clear" w:color="auto" w:fill="auto"/>
            <w:noWrap/>
            <w:vAlign w:val="bottom"/>
            <w:hideMark/>
          </w:tcPr>
          <w:p w:rsidR="0019729F" w:rsidRPr="002C797A" w:rsidRDefault="0019729F" w:rsidP="008F2FAE">
            <w:pPr>
              <w:rPr>
                <w:color w:val="000000"/>
                <w:sz w:val="20"/>
                <w:szCs w:val="20"/>
              </w:rPr>
            </w:pPr>
          </w:p>
        </w:tc>
        <w:tc>
          <w:tcPr>
            <w:tcW w:w="1276" w:type="dxa"/>
            <w:tcBorders>
              <w:top w:val="nil"/>
              <w:left w:val="nil"/>
              <w:bottom w:val="nil"/>
              <w:right w:val="nil"/>
            </w:tcBorders>
            <w:shd w:val="clear" w:color="auto" w:fill="auto"/>
            <w:noWrap/>
            <w:vAlign w:val="bottom"/>
            <w:hideMark/>
          </w:tcPr>
          <w:p w:rsidR="0019729F" w:rsidRPr="002C797A" w:rsidRDefault="0019729F" w:rsidP="008F2FAE">
            <w:pPr>
              <w:jc w:val="right"/>
              <w:rPr>
                <w:b/>
                <w:bCs/>
                <w:color w:val="000000"/>
                <w:sz w:val="20"/>
                <w:szCs w:val="20"/>
              </w:rPr>
            </w:pPr>
            <w:r w:rsidRPr="002C797A">
              <w:rPr>
                <w:b/>
                <w:bCs/>
                <w:color w:val="000000"/>
                <w:sz w:val="20"/>
                <w:szCs w:val="20"/>
              </w:rPr>
              <w:t>21,940.33</w:t>
            </w:r>
          </w:p>
        </w:tc>
      </w:tr>
    </w:tbl>
    <w:p w:rsidR="0019729F" w:rsidRDefault="0019729F" w:rsidP="0019729F">
      <w:pPr>
        <w:spacing w:line="360" w:lineRule="auto"/>
        <w:jc w:val="both"/>
        <w:rPr>
          <w:lang w:val="id-ID"/>
        </w:rPr>
      </w:pPr>
    </w:p>
    <w:p w:rsidR="0019729F" w:rsidRPr="008D2F2C" w:rsidRDefault="0019729F" w:rsidP="0019729F">
      <w:pPr>
        <w:spacing w:line="360" w:lineRule="auto"/>
        <w:jc w:val="both"/>
        <w:rPr>
          <w:lang w:val="id-ID"/>
        </w:rPr>
      </w:pPr>
      <w:r>
        <w:rPr>
          <w:lang w:val="id-ID"/>
        </w:rPr>
        <w:t>The operating costs that include operating labor, supervision, maintenance and repairs, and indirect costs, which consist of overheads, storage and insurance, and general expenses were estimated according to the standard procedures [</w:t>
      </w:r>
      <w:r w:rsidR="002D34B1">
        <w:rPr>
          <w:lang w:val="id-ID"/>
        </w:rPr>
        <w:t>20</w:t>
      </w:r>
      <w:r w:rsidR="00E0029F">
        <w:rPr>
          <w:lang w:val="id-ID"/>
        </w:rPr>
        <w:t>]</w:t>
      </w:r>
      <w:r>
        <w:rPr>
          <w:lang w:val="id-ID"/>
        </w:rPr>
        <w:t>.</w:t>
      </w:r>
    </w:p>
    <w:p w:rsidR="0019729F" w:rsidRPr="008D2F2C" w:rsidRDefault="0019729F" w:rsidP="0019729F">
      <w:pPr>
        <w:numPr>
          <w:ilvl w:val="0"/>
          <w:numId w:val="3"/>
        </w:numPr>
        <w:spacing w:line="360" w:lineRule="auto"/>
        <w:ind w:left="284" w:hanging="284"/>
        <w:jc w:val="both"/>
        <w:rPr>
          <w:lang w:val="id-ID"/>
        </w:rPr>
      </w:pPr>
      <w:r w:rsidRPr="008D2F2C">
        <w:rPr>
          <w:lang w:val="id-ID"/>
        </w:rPr>
        <w:t>Total annual cost per year (A+B) = (TCI/4 years) + O&amp;M/year = RM 39,174.35</w:t>
      </w:r>
    </w:p>
    <w:p w:rsidR="0019729F" w:rsidRPr="008D2F2C" w:rsidRDefault="0019729F" w:rsidP="0019729F">
      <w:pPr>
        <w:numPr>
          <w:ilvl w:val="0"/>
          <w:numId w:val="3"/>
        </w:numPr>
        <w:spacing w:line="360" w:lineRule="auto"/>
        <w:ind w:left="284" w:hanging="284"/>
        <w:jc w:val="both"/>
        <w:rPr>
          <w:lang w:val="id-ID"/>
        </w:rPr>
      </w:pPr>
      <w:r w:rsidRPr="008D2F2C">
        <w:rPr>
          <w:lang w:val="id-ID"/>
        </w:rPr>
        <w:t xml:space="preserve">Total reuse water production per year = </w:t>
      </w:r>
      <w:r>
        <w:rPr>
          <w:lang w:val="id-ID"/>
        </w:rPr>
        <w:t xml:space="preserve">1,825 </w:t>
      </w:r>
      <w:r w:rsidRPr="008D2F2C">
        <w:rPr>
          <w:lang w:val="id-ID"/>
        </w:rPr>
        <w:t>G</w:t>
      </w:r>
      <w:r>
        <w:rPr>
          <w:lang w:val="id-ID"/>
        </w:rPr>
        <w:t>allon</w:t>
      </w:r>
      <w:r w:rsidRPr="008D2F2C">
        <w:rPr>
          <w:lang w:val="id-ID"/>
        </w:rPr>
        <w:t xml:space="preserve"> </w:t>
      </w:r>
    </w:p>
    <w:p w:rsidR="0019729F" w:rsidRDefault="0019729F" w:rsidP="0019729F">
      <w:pPr>
        <w:numPr>
          <w:ilvl w:val="0"/>
          <w:numId w:val="3"/>
        </w:numPr>
        <w:spacing w:line="360" w:lineRule="auto"/>
        <w:ind w:left="284" w:hanging="284"/>
        <w:jc w:val="both"/>
        <w:rPr>
          <w:lang w:val="id-ID"/>
        </w:rPr>
      </w:pPr>
      <w:r w:rsidRPr="008D2F2C">
        <w:rPr>
          <w:lang w:val="id-ID"/>
        </w:rPr>
        <w:t>Cost for treated reuse water = RM 21.47/G</w:t>
      </w:r>
      <w:r>
        <w:rPr>
          <w:rFonts w:hint="eastAsia"/>
          <w:lang w:val="id-ID" w:eastAsia="ja-JP"/>
        </w:rPr>
        <w:t>allon</w:t>
      </w:r>
      <w:r w:rsidRPr="008D2F2C">
        <w:rPr>
          <w:lang w:val="id-ID"/>
        </w:rPr>
        <w:t>.</w:t>
      </w:r>
    </w:p>
    <w:p w:rsidR="00E0029F" w:rsidRDefault="00E0029F" w:rsidP="00E0029F">
      <w:pPr>
        <w:spacing w:line="360" w:lineRule="auto"/>
        <w:ind w:left="284"/>
        <w:jc w:val="both"/>
        <w:rPr>
          <w:lang w:val="id-ID"/>
        </w:rPr>
      </w:pPr>
    </w:p>
    <w:p w:rsidR="0019729F" w:rsidRPr="00940D3B" w:rsidRDefault="0019729F" w:rsidP="0019729F">
      <w:pPr>
        <w:numPr>
          <w:ilvl w:val="0"/>
          <w:numId w:val="1"/>
        </w:numPr>
        <w:spacing w:line="360" w:lineRule="auto"/>
        <w:jc w:val="both"/>
        <w:rPr>
          <w:b/>
          <w:lang w:val="id-ID"/>
        </w:rPr>
      </w:pPr>
      <w:r w:rsidRPr="00940D3B">
        <w:rPr>
          <w:b/>
          <w:lang w:val="id-ID"/>
        </w:rPr>
        <w:t>Conclusion</w:t>
      </w:r>
    </w:p>
    <w:p w:rsidR="00E0029F" w:rsidRDefault="0019729F" w:rsidP="0019729F">
      <w:pPr>
        <w:spacing w:line="360" w:lineRule="auto"/>
        <w:ind w:firstLine="720"/>
        <w:jc w:val="both"/>
        <w:rPr>
          <w:lang w:val="id-ID"/>
        </w:rPr>
      </w:pPr>
      <w:r>
        <w:rPr>
          <w:lang w:val="id-ID"/>
        </w:rPr>
        <w:t xml:space="preserve">Submerged membrane </w:t>
      </w:r>
      <w:r w:rsidR="00E0029F">
        <w:rPr>
          <w:lang w:val="id-ID"/>
        </w:rPr>
        <w:t>ultrafiltration</w:t>
      </w:r>
      <w:r>
        <w:rPr>
          <w:lang w:val="id-ID"/>
        </w:rPr>
        <w:t xml:space="preserve"> is one of the most rapidly advacing water treatment technologies, which has gained wide acceptance in water and wastewater treatment </w:t>
      </w:r>
      <w:r>
        <w:rPr>
          <w:lang w:val="id-ID"/>
        </w:rPr>
        <w:lastRenderedPageBreak/>
        <w:t xml:space="preserve">industry due to their ability to produce a high-quality and consistent product water. More recently UF has gained acceptance as a main filtration system with chosen pretreatment process for refinery wastewater treatment. It can be concluded from this feasibility study that the profitability of a submerged membrane UF system with cost of treated reuse water of RM 21.47/GPD is very interesting value for further application. </w:t>
      </w:r>
    </w:p>
    <w:p w:rsidR="00E0029F" w:rsidRDefault="00E0029F" w:rsidP="0019729F">
      <w:pPr>
        <w:spacing w:line="360" w:lineRule="auto"/>
        <w:ind w:firstLine="720"/>
        <w:jc w:val="both"/>
        <w:rPr>
          <w:lang w:val="id-ID"/>
        </w:rPr>
      </w:pPr>
    </w:p>
    <w:p w:rsidR="0019729F" w:rsidRPr="00940D3B" w:rsidRDefault="0019729F" w:rsidP="0019729F">
      <w:pPr>
        <w:spacing w:line="360" w:lineRule="auto"/>
        <w:jc w:val="both"/>
        <w:rPr>
          <w:b/>
          <w:lang w:val="id-ID"/>
        </w:rPr>
      </w:pPr>
      <w:r w:rsidRPr="00940D3B">
        <w:rPr>
          <w:b/>
          <w:lang w:val="id-ID"/>
        </w:rPr>
        <w:t>References</w:t>
      </w:r>
    </w:p>
    <w:p w:rsidR="0019729F" w:rsidRPr="00BD3D6D" w:rsidRDefault="0019729F" w:rsidP="0019729F">
      <w:pPr>
        <w:autoSpaceDE w:val="0"/>
        <w:autoSpaceDN w:val="0"/>
        <w:adjustRightInd w:val="0"/>
        <w:spacing w:line="360" w:lineRule="auto"/>
        <w:ind w:left="851" w:hanging="425"/>
        <w:jc w:val="both"/>
        <w:rPr>
          <w:lang w:val="id-ID"/>
        </w:rPr>
      </w:pPr>
      <w:r w:rsidRPr="00BD3D6D">
        <w:rPr>
          <w:lang w:val="id-ID"/>
        </w:rPr>
        <w:t>1.</w:t>
      </w:r>
      <w:r>
        <w:rPr>
          <w:lang w:val="id-ID"/>
        </w:rPr>
        <w:tab/>
        <w:t>M.F. Ali, A. J. Hamdan, F. Rahman, Techno-economic evaluation of waste lube oil re-refining in Saudi Arabia, Int. J. Production Economics, 42 (1995) 263-273.</w:t>
      </w:r>
    </w:p>
    <w:p w:rsidR="0019729F" w:rsidRDefault="0019729F" w:rsidP="0019729F">
      <w:pPr>
        <w:autoSpaceDE w:val="0"/>
        <w:autoSpaceDN w:val="0"/>
        <w:adjustRightInd w:val="0"/>
        <w:spacing w:line="360" w:lineRule="auto"/>
        <w:ind w:left="851" w:hanging="425"/>
        <w:jc w:val="both"/>
        <w:rPr>
          <w:lang w:val="id-ID"/>
        </w:rPr>
      </w:pPr>
      <w:r w:rsidRPr="00BD3D6D">
        <w:rPr>
          <w:lang w:val="id-ID"/>
        </w:rPr>
        <w:t xml:space="preserve">2. </w:t>
      </w:r>
      <w:r>
        <w:rPr>
          <w:lang w:val="id-ID"/>
        </w:rPr>
        <w:tab/>
      </w:r>
      <w:r w:rsidRPr="00BD3D6D">
        <w:t>L. Xianling, W. Jianping, Y. Qing, Z. Xuemin, The pilot study for oil refinery waste-water treatment using a gas–liquid–solid three phase flowairlift-bioreactor, Biochem. Eng. J. 27 (2005) 40–44.</w:t>
      </w:r>
    </w:p>
    <w:p w:rsidR="0019729F" w:rsidRDefault="0019729F" w:rsidP="0019729F">
      <w:pPr>
        <w:autoSpaceDE w:val="0"/>
        <w:autoSpaceDN w:val="0"/>
        <w:adjustRightInd w:val="0"/>
        <w:spacing w:line="360" w:lineRule="auto"/>
        <w:ind w:left="851" w:hanging="425"/>
        <w:jc w:val="both"/>
        <w:rPr>
          <w:lang w:val="id-ID"/>
        </w:rPr>
      </w:pPr>
      <w:r>
        <w:rPr>
          <w:lang w:val="id-ID"/>
        </w:rPr>
        <w:t xml:space="preserve">3. </w:t>
      </w:r>
      <w:r>
        <w:rPr>
          <w:lang w:val="id-ID"/>
        </w:rPr>
        <w:tab/>
        <w:t>M. Pilutti PE, E. Julia, PE. Nemeth, Technical and cost review of commercially available MF/UF membrane products, International Desalination Association Report (2003) BAH03-029.</w:t>
      </w:r>
    </w:p>
    <w:p w:rsidR="0019729F" w:rsidRDefault="0019729F" w:rsidP="0019729F">
      <w:pPr>
        <w:autoSpaceDE w:val="0"/>
        <w:autoSpaceDN w:val="0"/>
        <w:adjustRightInd w:val="0"/>
        <w:spacing w:line="360" w:lineRule="auto"/>
        <w:ind w:left="851" w:hanging="425"/>
        <w:jc w:val="both"/>
        <w:rPr>
          <w:rFonts w:ascii="AdvTT5235d5a9" w:hAnsi="AdvTT5235d5a9" w:cs="AdvTT5235d5a9"/>
          <w:lang w:val="id-ID"/>
        </w:rPr>
      </w:pPr>
      <w:r w:rsidRPr="00D76729">
        <w:rPr>
          <w:lang w:val="id-ID"/>
        </w:rPr>
        <w:t>4.</w:t>
      </w:r>
      <w:r w:rsidRPr="00D76729">
        <w:rPr>
          <w:lang w:val="id-ID"/>
        </w:rPr>
        <w:tab/>
      </w:r>
      <w:r w:rsidRPr="00D76729">
        <w:rPr>
          <w:rFonts w:ascii="AdvTT5235d5a9" w:hAnsi="AdvTT5235d5a9" w:cs="AdvTT5235d5a9"/>
        </w:rPr>
        <w:t>E. Yuliwati, A.F. Ismail, Effect of additives concentration on the surface properties and performance of PVDF ultra</w:t>
      </w:r>
      <w:r w:rsidRPr="00D76729">
        <w:rPr>
          <w:rFonts w:ascii="AdvTT5235d5a9+fb" w:hAnsi="AdvTT5235d5a9+fb" w:cs="AdvTT5235d5a9+fb"/>
        </w:rPr>
        <w:t>fi</w:t>
      </w:r>
      <w:r w:rsidRPr="00D76729">
        <w:rPr>
          <w:rFonts w:ascii="AdvTT5235d5a9" w:hAnsi="AdvTT5235d5a9" w:cs="AdvTT5235d5a9"/>
        </w:rPr>
        <w:t>ltration membranes for re</w:t>
      </w:r>
      <w:r w:rsidRPr="00D76729">
        <w:rPr>
          <w:rFonts w:ascii="AdvTT5235d5a9+fb" w:hAnsi="AdvTT5235d5a9+fb" w:cs="AdvTT5235d5a9+fb"/>
        </w:rPr>
        <w:t>fi</w:t>
      </w:r>
      <w:r w:rsidRPr="00D76729">
        <w:rPr>
          <w:rFonts w:ascii="AdvTT5235d5a9" w:hAnsi="AdvTT5235d5a9" w:cs="AdvTT5235d5a9"/>
        </w:rPr>
        <w:t>nery wastewater treatment, Desalination 273 (2011) 226</w:t>
      </w:r>
      <w:r w:rsidRPr="00D76729">
        <w:rPr>
          <w:rFonts w:ascii="AdvTT5235d5a9+20" w:hAnsi="AdvTT5235d5a9+20" w:cs="AdvTT5235d5a9+20"/>
        </w:rPr>
        <w:t>–</w:t>
      </w:r>
      <w:r w:rsidRPr="00D76729">
        <w:rPr>
          <w:rFonts w:ascii="AdvTT5235d5a9" w:hAnsi="AdvTT5235d5a9" w:cs="AdvTT5235d5a9"/>
        </w:rPr>
        <w:t>234.</w:t>
      </w:r>
    </w:p>
    <w:p w:rsidR="0019729F" w:rsidRDefault="0019729F" w:rsidP="0019729F">
      <w:pPr>
        <w:autoSpaceDE w:val="0"/>
        <w:autoSpaceDN w:val="0"/>
        <w:adjustRightInd w:val="0"/>
        <w:spacing w:line="360" w:lineRule="auto"/>
        <w:ind w:left="851" w:hanging="425"/>
        <w:jc w:val="both"/>
        <w:rPr>
          <w:lang w:val="id-ID"/>
        </w:rPr>
      </w:pPr>
      <w:r>
        <w:rPr>
          <w:lang w:val="id-ID"/>
        </w:rPr>
        <w:t>5.</w:t>
      </w:r>
      <w:r>
        <w:rPr>
          <w:lang w:val="id-ID"/>
        </w:rPr>
        <w:tab/>
        <w:t>S. Frioui, R. Oumeddour, Investment and production costs of desalination plants by semi-empirical method, Desalination 223 (2008) 457-463.</w:t>
      </w:r>
    </w:p>
    <w:p w:rsidR="0019729F" w:rsidRDefault="0019729F" w:rsidP="0019729F">
      <w:pPr>
        <w:autoSpaceDE w:val="0"/>
        <w:autoSpaceDN w:val="0"/>
        <w:adjustRightInd w:val="0"/>
        <w:spacing w:line="360" w:lineRule="auto"/>
        <w:ind w:left="851" w:hanging="425"/>
        <w:jc w:val="both"/>
        <w:rPr>
          <w:lang w:val="id-ID"/>
        </w:rPr>
      </w:pPr>
      <w:r>
        <w:rPr>
          <w:lang w:val="id-ID"/>
        </w:rPr>
        <w:t>6.</w:t>
      </w:r>
      <w:r>
        <w:rPr>
          <w:lang w:val="id-ID"/>
        </w:rPr>
        <w:tab/>
        <w:t>T. Younos, The economics of desalination, J. Contemporary Water Research &amp; Education, 132 (2005) 39-45.</w:t>
      </w:r>
    </w:p>
    <w:p w:rsidR="0019729F" w:rsidRDefault="0019729F" w:rsidP="0019729F">
      <w:pPr>
        <w:autoSpaceDE w:val="0"/>
        <w:autoSpaceDN w:val="0"/>
        <w:adjustRightInd w:val="0"/>
        <w:spacing w:line="360" w:lineRule="auto"/>
        <w:ind w:left="851" w:hanging="425"/>
        <w:jc w:val="both"/>
        <w:rPr>
          <w:lang w:val="id-ID"/>
        </w:rPr>
      </w:pPr>
      <w:r>
        <w:rPr>
          <w:lang w:val="id-ID"/>
        </w:rPr>
        <w:t>7.</w:t>
      </w:r>
      <w:r>
        <w:rPr>
          <w:lang w:val="id-ID"/>
        </w:rPr>
        <w:tab/>
        <w:t>P. Mahi, Developing environmentally acceptable desalination projects, Desalination 138 (2001) 167-172.</w:t>
      </w:r>
    </w:p>
    <w:p w:rsidR="0019729F" w:rsidRDefault="006530CE" w:rsidP="0019729F">
      <w:pPr>
        <w:autoSpaceDE w:val="0"/>
        <w:autoSpaceDN w:val="0"/>
        <w:adjustRightInd w:val="0"/>
        <w:spacing w:line="360" w:lineRule="auto"/>
        <w:ind w:left="851" w:hanging="425"/>
        <w:jc w:val="both"/>
        <w:rPr>
          <w:color w:val="000000"/>
          <w:lang w:val="id-ID"/>
        </w:rPr>
      </w:pPr>
      <w:r>
        <w:rPr>
          <w:lang w:val="id-ID"/>
        </w:rPr>
        <w:t>8</w:t>
      </w:r>
      <w:r w:rsidR="0019729F" w:rsidRPr="00A20E02">
        <w:rPr>
          <w:lang w:val="id-ID"/>
        </w:rPr>
        <w:t>.</w:t>
      </w:r>
      <w:r w:rsidR="0019729F" w:rsidRPr="00A20E02">
        <w:rPr>
          <w:lang w:val="id-ID"/>
        </w:rPr>
        <w:tab/>
      </w:r>
      <w:r w:rsidR="0019729F" w:rsidRPr="00A20E02">
        <w:rPr>
          <w:color w:val="000000"/>
        </w:rPr>
        <w:t>E. Yuliwati</w:t>
      </w:r>
      <w:r w:rsidR="0019729F" w:rsidRPr="00A20E02">
        <w:rPr>
          <w:color w:val="000000"/>
          <w:lang w:val="id-ID"/>
        </w:rPr>
        <w:t>,</w:t>
      </w:r>
      <w:r w:rsidR="0019729F" w:rsidRPr="00A20E02">
        <w:rPr>
          <w:color w:val="000000"/>
        </w:rPr>
        <w:t xml:space="preserve"> A.F. Ismail</w:t>
      </w:r>
      <w:r w:rsidR="0019729F" w:rsidRPr="00A20E02">
        <w:rPr>
          <w:color w:val="000000"/>
          <w:lang w:val="id-ID"/>
        </w:rPr>
        <w:t>,</w:t>
      </w:r>
      <w:r w:rsidR="0019729F" w:rsidRPr="00A20E02">
        <w:rPr>
          <w:color w:val="000000"/>
        </w:rPr>
        <w:t xml:space="preserve"> T. Matsuura</w:t>
      </w:r>
      <w:r w:rsidR="0019729F" w:rsidRPr="00A20E02">
        <w:rPr>
          <w:color w:val="000000"/>
          <w:lang w:val="id-ID"/>
        </w:rPr>
        <w:t>,</w:t>
      </w:r>
      <w:r w:rsidR="0019729F" w:rsidRPr="00A20E02">
        <w:rPr>
          <w:color w:val="000000"/>
        </w:rPr>
        <w:t xml:space="preserve"> M.A. Kassim</w:t>
      </w:r>
      <w:r w:rsidR="0019729F" w:rsidRPr="00A20E02">
        <w:rPr>
          <w:color w:val="000000"/>
          <w:lang w:val="id-ID"/>
        </w:rPr>
        <w:t>,</w:t>
      </w:r>
      <w:r w:rsidR="0019729F" w:rsidRPr="00A20E02">
        <w:rPr>
          <w:color w:val="000000"/>
        </w:rPr>
        <w:t xml:space="preserve"> M.S. Abdullah</w:t>
      </w:r>
      <w:r w:rsidR="0019729F" w:rsidRPr="00A20E02">
        <w:rPr>
          <w:color w:val="000000"/>
          <w:lang w:val="id-ID"/>
        </w:rPr>
        <w:t xml:space="preserve">, </w:t>
      </w:r>
      <w:r w:rsidR="0019729F">
        <w:rPr>
          <w:color w:val="000000"/>
          <w:lang w:val="id-ID"/>
        </w:rPr>
        <w:t>Effect of modi</w:t>
      </w:r>
      <w:r w:rsidR="0019729F" w:rsidRPr="00A20E02">
        <w:rPr>
          <w:color w:val="000000"/>
          <w:lang w:val="id-ID"/>
        </w:rPr>
        <w:t>fied PVDF hollow fiber submerged membrane ultrafiltration membrane for refinery wastewater treatment, Desalination 283 (2011) 214-220.</w:t>
      </w:r>
    </w:p>
    <w:p w:rsidR="0019729F" w:rsidRDefault="006530CE" w:rsidP="0019729F">
      <w:pPr>
        <w:autoSpaceDE w:val="0"/>
        <w:autoSpaceDN w:val="0"/>
        <w:adjustRightInd w:val="0"/>
        <w:spacing w:line="360" w:lineRule="auto"/>
        <w:ind w:left="851" w:hanging="425"/>
        <w:jc w:val="both"/>
        <w:rPr>
          <w:color w:val="000000"/>
          <w:lang w:val="id-ID"/>
        </w:rPr>
      </w:pPr>
      <w:r>
        <w:rPr>
          <w:lang w:val="id-ID"/>
        </w:rPr>
        <w:t>9</w:t>
      </w:r>
      <w:r w:rsidR="0019729F">
        <w:rPr>
          <w:lang w:val="id-ID"/>
        </w:rPr>
        <w:t>.</w:t>
      </w:r>
      <w:r w:rsidR="0019729F">
        <w:rPr>
          <w:lang w:val="id-ID"/>
        </w:rPr>
        <w:tab/>
      </w:r>
      <w:r w:rsidR="0019729F" w:rsidRPr="00A20E02">
        <w:rPr>
          <w:color w:val="000000"/>
        </w:rPr>
        <w:t>E. Yuliwati</w:t>
      </w:r>
      <w:r w:rsidR="0019729F" w:rsidRPr="00A20E02">
        <w:rPr>
          <w:color w:val="000000"/>
          <w:lang w:val="id-ID"/>
        </w:rPr>
        <w:t>,</w:t>
      </w:r>
      <w:r w:rsidR="0019729F" w:rsidRPr="00A20E02">
        <w:rPr>
          <w:color w:val="000000"/>
        </w:rPr>
        <w:t xml:space="preserve"> A.F. Ismail</w:t>
      </w:r>
      <w:r w:rsidR="0019729F" w:rsidRPr="00A20E02">
        <w:rPr>
          <w:color w:val="000000"/>
          <w:lang w:val="id-ID"/>
        </w:rPr>
        <w:t>,</w:t>
      </w:r>
      <w:r w:rsidR="0019729F" w:rsidRPr="00A20E02">
        <w:rPr>
          <w:color w:val="000000"/>
        </w:rPr>
        <w:t xml:space="preserve"> T. Matsuura</w:t>
      </w:r>
      <w:r w:rsidR="0019729F" w:rsidRPr="00A20E02">
        <w:rPr>
          <w:color w:val="000000"/>
          <w:lang w:val="id-ID"/>
        </w:rPr>
        <w:t>,</w:t>
      </w:r>
      <w:r w:rsidR="0019729F" w:rsidRPr="00A20E02">
        <w:rPr>
          <w:color w:val="000000"/>
        </w:rPr>
        <w:t xml:space="preserve"> M.A. Kassim</w:t>
      </w:r>
      <w:r w:rsidR="0019729F" w:rsidRPr="00A20E02">
        <w:rPr>
          <w:color w:val="000000"/>
          <w:lang w:val="id-ID"/>
        </w:rPr>
        <w:t>,</w:t>
      </w:r>
      <w:r w:rsidR="0019729F" w:rsidRPr="00A20E02">
        <w:rPr>
          <w:color w:val="000000"/>
        </w:rPr>
        <w:t xml:space="preserve"> M.S. Abdullah</w:t>
      </w:r>
      <w:r w:rsidR="0019729F">
        <w:rPr>
          <w:color w:val="000000"/>
          <w:lang w:val="id-ID"/>
        </w:rPr>
        <w:t>, Characterization of surface-modified porous PVDF hollow fibers for refinery wastewater treatment using microscopic observation, Desalination 283 (2011) 206-213.</w:t>
      </w:r>
    </w:p>
    <w:p w:rsidR="0019729F" w:rsidRPr="00520713" w:rsidRDefault="0019729F" w:rsidP="0019729F">
      <w:pPr>
        <w:spacing w:line="360" w:lineRule="auto"/>
        <w:ind w:left="851" w:hanging="425"/>
        <w:jc w:val="both"/>
        <w:rPr>
          <w:lang w:val="id-ID"/>
        </w:rPr>
      </w:pPr>
      <w:r>
        <w:rPr>
          <w:lang w:val="id-ID"/>
        </w:rPr>
        <w:t>1</w:t>
      </w:r>
      <w:r w:rsidR="006530CE">
        <w:rPr>
          <w:lang w:val="id-ID"/>
        </w:rPr>
        <w:t>0</w:t>
      </w:r>
      <w:r>
        <w:rPr>
          <w:lang w:val="id-ID"/>
        </w:rPr>
        <w:t>.</w:t>
      </w:r>
      <w:r>
        <w:rPr>
          <w:lang w:val="id-ID"/>
        </w:rPr>
        <w:tab/>
        <w:t xml:space="preserve">E. Yuliwati, A.F. Ismail, </w:t>
      </w:r>
      <w:r>
        <w:t xml:space="preserve">W.J. Lau, </w:t>
      </w:r>
      <w:r w:rsidRPr="00EE48A1">
        <w:t xml:space="preserve">B.C. Ng, </w:t>
      </w:r>
      <w:r>
        <w:t>A. Mataram, M.A. Kassim</w:t>
      </w:r>
      <w:r>
        <w:rPr>
          <w:lang w:val="id-ID"/>
        </w:rPr>
        <w:t>, Effects</w:t>
      </w:r>
      <w:r w:rsidRPr="00520713">
        <w:t xml:space="preserve"> of </w:t>
      </w:r>
      <w:r w:rsidRPr="00520713">
        <w:rPr>
          <w:lang w:val="id-ID"/>
        </w:rPr>
        <w:t>process conditions</w:t>
      </w:r>
      <w:r w:rsidRPr="00520713">
        <w:t xml:space="preserve"> </w:t>
      </w:r>
      <w:r w:rsidRPr="00520713">
        <w:rPr>
          <w:lang w:val="id-ID"/>
        </w:rPr>
        <w:t>i</w:t>
      </w:r>
      <w:r w:rsidRPr="00520713">
        <w:t>n submerged ultrafiltration</w:t>
      </w:r>
      <w:r w:rsidRPr="00520713">
        <w:rPr>
          <w:lang w:val="id-ID"/>
        </w:rPr>
        <w:t xml:space="preserve"> for refinery wastewater treatment</w:t>
      </w:r>
      <w:r w:rsidRPr="00520713">
        <w:t xml:space="preserve">: </w:t>
      </w:r>
      <w:r w:rsidRPr="00520713">
        <w:lastRenderedPageBreak/>
        <w:t>Optimization of operating process by response surface methodology</w:t>
      </w:r>
      <w:r>
        <w:rPr>
          <w:lang w:val="id-ID"/>
        </w:rPr>
        <w:t>, Desalination, 287 (2012) 350-361.</w:t>
      </w:r>
    </w:p>
    <w:p w:rsidR="0019729F" w:rsidRDefault="0019729F" w:rsidP="0019729F">
      <w:pPr>
        <w:tabs>
          <w:tab w:val="left" w:pos="-5280"/>
        </w:tabs>
        <w:spacing w:line="360" w:lineRule="auto"/>
        <w:ind w:left="851" w:hanging="425"/>
        <w:jc w:val="both"/>
        <w:rPr>
          <w:lang w:val="id-ID"/>
        </w:rPr>
      </w:pPr>
      <w:r>
        <w:rPr>
          <w:lang w:val="id-ID"/>
        </w:rPr>
        <w:t>1</w:t>
      </w:r>
      <w:r w:rsidR="006530CE">
        <w:rPr>
          <w:lang w:val="id-ID"/>
        </w:rPr>
        <w:t>1</w:t>
      </w:r>
      <w:r>
        <w:rPr>
          <w:lang w:val="id-ID"/>
        </w:rPr>
        <w:t>.</w:t>
      </w:r>
      <w:r>
        <w:rPr>
          <w:lang w:val="id-ID"/>
        </w:rPr>
        <w:tab/>
      </w:r>
      <w:r w:rsidRPr="00520713">
        <w:rPr>
          <w:lang w:val="id-ID"/>
        </w:rPr>
        <w:t>T. Ueda, K. Hata, Treatment of domestic sewage from rural settlements by a membrane bioreactor, Water Sci. Tec</w:t>
      </w:r>
      <w:r w:rsidRPr="00520713">
        <w:t>h</w:t>
      </w:r>
      <w:r w:rsidRPr="00520713">
        <w:rPr>
          <w:lang w:val="id-ID"/>
        </w:rPr>
        <w:t>no</w:t>
      </w:r>
      <w:r w:rsidRPr="00520713">
        <w:t>l</w:t>
      </w:r>
      <w:r w:rsidRPr="00520713">
        <w:rPr>
          <w:lang w:val="id-ID"/>
        </w:rPr>
        <w:t>. 34 (1996) 186-196.</w:t>
      </w:r>
    </w:p>
    <w:p w:rsidR="0019729F" w:rsidRPr="006978A7" w:rsidRDefault="006530CE" w:rsidP="0019729F">
      <w:pPr>
        <w:tabs>
          <w:tab w:val="left" w:pos="-5280"/>
        </w:tabs>
        <w:spacing w:line="360" w:lineRule="auto"/>
        <w:ind w:left="851" w:hanging="425"/>
        <w:jc w:val="both"/>
        <w:rPr>
          <w:lang w:val="id-ID"/>
        </w:rPr>
      </w:pPr>
      <w:r>
        <w:rPr>
          <w:lang w:val="id-ID"/>
        </w:rPr>
        <w:t>12</w:t>
      </w:r>
      <w:r w:rsidR="0019729F">
        <w:rPr>
          <w:lang w:val="id-ID"/>
        </w:rPr>
        <w:t>.</w:t>
      </w:r>
      <w:r w:rsidR="0019729F">
        <w:rPr>
          <w:lang w:val="id-ID"/>
        </w:rPr>
        <w:tab/>
      </w:r>
      <w:r w:rsidR="0019729F" w:rsidRPr="006978A7">
        <w:t xml:space="preserve">D.B. Mosqueda-Jimenez, R.M. Narbaitz, T. Matsuura, G. Chowdhury, G. Pleizier, J.P. Santerre, </w:t>
      </w:r>
      <w:r w:rsidR="0019729F">
        <w:rPr>
          <w:lang w:val="id-ID"/>
        </w:rPr>
        <w:t>Influence</w:t>
      </w:r>
      <w:r w:rsidR="0019729F" w:rsidRPr="006978A7">
        <w:t xml:space="preserve"> of processing conditions on the properties of ultrafiltration membranes, J. Membr. Sci. 231 (2004) 209-224.</w:t>
      </w:r>
    </w:p>
    <w:p w:rsidR="0019729F" w:rsidRDefault="0019729F" w:rsidP="0019729F">
      <w:pPr>
        <w:autoSpaceDE w:val="0"/>
        <w:autoSpaceDN w:val="0"/>
        <w:adjustRightInd w:val="0"/>
        <w:spacing w:line="360" w:lineRule="auto"/>
        <w:ind w:left="851" w:hanging="425"/>
        <w:jc w:val="both"/>
        <w:rPr>
          <w:lang w:val="id-ID"/>
        </w:rPr>
      </w:pPr>
      <w:r>
        <w:rPr>
          <w:lang w:val="id-ID"/>
        </w:rPr>
        <w:t>1</w:t>
      </w:r>
      <w:r w:rsidR="006530CE">
        <w:rPr>
          <w:lang w:val="id-ID"/>
        </w:rPr>
        <w:t>3</w:t>
      </w:r>
      <w:r>
        <w:rPr>
          <w:lang w:val="id-ID"/>
        </w:rPr>
        <w:t>.</w:t>
      </w:r>
      <w:r>
        <w:rPr>
          <w:lang w:val="id-ID"/>
        </w:rPr>
        <w:tab/>
        <w:t xml:space="preserve">O. El Reidy, Engineering economics, I.A.P., Boumerdes, Algeria, 1984. </w:t>
      </w:r>
    </w:p>
    <w:p w:rsidR="0019729F" w:rsidRDefault="0019729F" w:rsidP="0019729F">
      <w:pPr>
        <w:autoSpaceDE w:val="0"/>
        <w:autoSpaceDN w:val="0"/>
        <w:adjustRightInd w:val="0"/>
        <w:spacing w:line="360" w:lineRule="auto"/>
        <w:ind w:left="851" w:hanging="425"/>
        <w:jc w:val="both"/>
        <w:rPr>
          <w:lang w:val="id-ID"/>
        </w:rPr>
      </w:pPr>
      <w:r>
        <w:rPr>
          <w:lang w:val="id-ID"/>
        </w:rPr>
        <w:t>1</w:t>
      </w:r>
      <w:r w:rsidR="006530CE">
        <w:rPr>
          <w:lang w:val="id-ID"/>
        </w:rPr>
        <w:t>4</w:t>
      </w:r>
      <w:r>
        <w:rPr>
          <w:lang w:val="id-ID"/>
        </w:rPr>
        <w:t>.</w:t>
      </w:r>
      <w:r>
        <w:rPr>
          <w:lang w:val="id-ID"/>
        </w:rPr>
        <w:tab/>
        <w:t>D.E. Garrett, Chemical Engineering Economics, Van Nostrand Reinhold, New York, USA, 1989.</w:t>
      </w:r>
    </w:p>
    <w:p w:rsidR="0019729F" w:rsidRDefault="0019729F" w:rsidP="0019729F">
      <w:pPr>
        <w:autoSpaceDE w:val="0"/>
        <w:autoSpaceDN w:val="0"/>
        <w:adjustRightInd w:val="0"/>
        <w:spacing w:line="360" w:lineRule="auto"/>
        <w:ind w:left="851" w:hanging="425"/>
        <w:jc w:val="both"/>
        <w:rPr>
          <w:lang w:val="id-ID"/>
        </w:rPr>
      </w:pPr>
      <w:r>
        <w:rPr>
          <w:lang w:val="id-ID"/>
        </w:rPr>
        <w:t>1</w:t>
      </w:r>
      <w:r w:rsidR="006530CE">
        <w:rPr>
          <w:lang w:val="id-ID"/>
        </w:rPr>
        <w:t>5</w:t>
      </w:r>
      <w:r>
        <w:rPr>
          <w:lang w:val="id-ID"/>
        </w:rPr>
        <w:t>.</w:t>
      </w:r>
      <w:r>
        <w:rPr>
          <w:lang w:val="id-ID"/>
        </w:rPr>
        <w:tab/>
        <w:t>M. Wilf and M.K. Schierach, Improved performance and cost reduction of RO seawater systems using UF pretreatment, Desalination, 135 (2001) 61-68.</w:t>
      </w:r>
    </w:p>
    <w:p w:rsidR="0019729F" w:rsidRDefault="0019729F" w:rsidP="0019729F">
      <w:pPr>
        <w:autoSpaceDE w:val="0"/>
        <w:autoSpaceDN w:val="0"/>
        <w:adjustRightInd w:val="0"/>
        <w:spacing w:line="360" w:lineRule="auto"/>
        <w:ind w:left="851" w:hanging="425"/>
        <w:jc w:val="both"/>
        <w:rPr>
          <w:lang w:val="id-ID"/>
        </w:rPr>
      </w:pPr>
      <w:r>
        <w:rPr>
          <w:lang w:val="id-ID"/>
        </w:rPr>
        <w:t>1</w:t>
      </w:r>
      <w:r w:rsidR="006530CE">
        <w:rPr>
          <w:lang w:val="id-ID"/>
        </w:rPr>
        <w:t>6</w:t>
      </w:r>
      <w:r>
        <w:rPr>
          <w:lang w:val="id-ID"/>
        </w:rPr>
        <w:t>.</w:t>
      </w:r>
      <w:r>
        <w:rPr>
          <w:lang w:val="id-ID"/>
        </w:rPr>
        <w:tab/>
        <w:t>V. Bonnélye, L. Guey, J. Del Castillo, UF/MF as RO pre-treatment: the real benefit, Desalination 222 (2008) 59-65.</w:t>
      </w:r>
    </w:p>
    <w:p w:rsidR="0019729F" w:rsidRDefault="0019729F" w:rsidP="0019729F">
      <w:pPr>
        <w:autoSpaceDE w:val="0"/>
        <w:autoSpaceDN w:val="0"/>
        <w:adjustRightInd w:val="0"/>
        <w:spacing w:line="360" w:lineRule="auto"/>
        <w:ind w:left="851" w:hanging="425"/>
        <w:jc w:val="both"/>
        <w:rPr>
          <w:lang w:val="id-ID"/>
        </w:rPr>
      </w:pPr>
      <w:r>
        <w:rPr>
          <w:lang w:val="id-ID"/>
        </w:rPr>
        <w:t>1</w:t>
      </w:r>
      <w:r w:rsidR="006530CE">
        <w:rPr>
          <w:lang w:val="id-ID"/>
        </w:rPr>
        <w:t>7</w:t>
      </w:r>
      <w:r>
        <w:rPr>
          <w:lang w:val="id-ID"/>
        </w:rPr>
        <w:t>.</w:t>
      </w:r>
      <w:r>
        <w:rPr>
          <w:lang w:val="id-ID"/>
        </w:rPr>
        <w:tab/>
        <w:t>H.W. Greig and J.W. Wearmouth, An economic comparison of 2x1000 m</w:t>
      </w:r>
      <w:r>
        <w:rPr>
          <w:vertAlign w:val="superscript"/>
          <w:lang w:val="id-ID"/>
        </w:rPr>
        <w:t>3+</w:t>
      </w:r>
      <w:r>
        <w:rPr>
          <w:lang w:val="id-ID"/>
        </w:rPr>
        <w:t>/day desalination plants, Desalination 64 (1987) 17-50.</w:t>
      </w:r>
    </w:p>
    <w:p w:rsidR="00E0029F" w:rsidRDefault="006530CE" w:rsidP="00E0029F">
      <w:pPr>
        <w:autoSpaceDE w:val="0"/>
        <w:autoSpaceDN w:val="0"/>
        <w:adjustRightInd w:val="0"/>
        <w:spacing w:line="360" w:lineRule="auto"/>
        <w:ind w:left="851" w:hanging="425"/>
        <w:jc w:val="both"/>
        <w:rPr>
          <w:lang w:val="id-ID"/>
        </w:rPr>
      </w:pPr>
      <w:r>
        <w:rPr>
          <w:lang w:val="id-ID"/>
        </w:rPr>
        <w:t>18</w:t>
      </w:r>
      <w:r w:rsidR="0019729F" w:rsidRPr="00251327">
        <w:rPr>
          <w:lang w:val="id-ID"/>
        </w:rPr>
        <w:t>.</w:t>
      </w:r>
      <w:r w:rsidR="0019729F" w:rsidRPr="00251327">
        <w:rPr>
          <w:lang w:val="id-ID"/>
        </w:rPr>
        <w:tab/>
      </w:r>
      <w:r w:rsidR="00E0029F">
        <w:rPr>
          <w:lang w:val="id-ID"/>
        </w:rPr>
        <w:t>J. R. Pressdee, S. Veerapaneni,  H.L. Shorne-Darby, J.A. Clement, J.P. van der Hoek, Integration of membrane filtration into water treatment systems, American Water Works Association (AWWA) research foundation, USA, 2006.</w:t>
      </w:r>
    </w:p>
    <w:p w:rsidR="002D34B1" w:rsidRDefault="002D34B1" w:rsidP="00E0029F">
      <w:pPr>
        <w:autoSpaceDE w:val="0"/>
        <w:autoSpaceDN w:val="0"/>
        <w:adjustRightInd w:val="0"/>
        <w:spacing w:line="360" w:lineRule="auto"/>
        <w:ind w:left="851" w:hanging="425"/>
        <w:jc w:val="both"/>
        <w:rPr>
          <w:lang w:val="id-ID"/>
        </w:rPr>
      </w:pPr>
      <w:r>
        <w:rPr>
          <w:lang w:val="id-ID"/>
        </w:rPr>
        <w:t>19.</w:t>
      </w:r>
      <w:r>
        <w:rPr>
          <w:lang w:val="id-ID"/>
        </w:rPr>
        <w:tab/>
        <w:t xml:space="preserve">SRI Process Economics Program (PEP), Chemical process evaluation, </w:t>
      </w:r>
      <w:hyperlink r:id="rId10" w:history="1">
        <w:r w:rsidRPr="00BE4430">
          <w:rPr>
            <w:rStyle w:val="Hyperlink"/>
            <w:lang w:val="id-ID"/>
          </w:rPr>
          <w:t>www.sriconsulting.com/PEP</w:t>
        </w:r>
      </w:hyperlink>
      <w:r>
        <w:rPr>
          <w:lang w:val="id-ID"/>
        </w:rPr>
        <w:t xml:space="preserve">. Retrieved on </w:t>
      </w:r>
      <w:r w:rsidR="002F5EEE">
        <w:rPr>
          <w:lang w:val="id-ID"/>
        </w:rPr>
        <w:t>February 2013</w:t>
      </w:r>
      <w:r>
        <w:rPr>
          <w:lang w:val="id-ID"/>
        </w:rPr>
        <w:t>.</w:t>
      </w:r>
    </w:p>
    <w:p w:rsidR="0019729F" w:rsidRDefault="002D34B1" w:rsidP="0019729F">
      <w:pPr>
        <w:autoSpaceDE w:val="0"/>
        <w:autoSpaceDN w:val="0"/>
        <w:adjustRightInd w:val="0"/>
        <w:spacing w:line="360" w:lineRule="auto"/>
        <w:ind w:left="851" w:hanging="425"/>
        <w:jc w:val="both"/>
        <w:rPr>
          <w:lang w:val="id-ID"/>
        </w:rPr>
      </w:pPr>
      <w:r>
        <w:rPr>
          <w:lang w:val="id-ID"/>
        </w:rPr>
        <w:t>20</w:t>
      </w:r>
      <w:r w:rsidR="0019729F">
        <w:rPr>
          <w:lang w:val="id-ID"/>
        </w:rPr>
        <w:t>.</w:t>
      </w:r>
      <w:r w:rsidR="0019729F">
        <w:rPr>
          <w:lang w:val="id-ID"/>
        </w:rPr>
        <w:tab/>
        <w:t>L. Sorgini, Water reuse: An evaluation of the technologies and their benefits, Water Environ. Technol. 19 (2003) 54-59.</w:t>
      </w:r>
    </w:p>
    <w:p w:rsidR="0019729F" w:rsidRDefault="0019729F" w:rsidP="0019729F">
      <w:pPr>
        <w:spacing w:line="360" w:lineRule="auto"/>
      </w:pPr>
    </w:p>
    <w:sectPr w:rsidR="0019729F" w:rsidSect="00233BA9">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FB" w:rsidRDefault="008525FB" w:rsidP="00094A8F">
      <w:r>
        <w:separator/>
      </w:r>
    </w:p>
  </w:endnote>
  <w:endnote w:type="continuationSeparator" w:id="0">
    <w:p w:rsidR="008525FB" w:rsidRDefault="008525FB" w:rsidP="00094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8F" w:rsidRDefault="00094A8F">
    <w:pPr>
      <w:pStyle w:val="Footer"/>
      <w:rPr>
        <w:sz w:val="20"/>
        <w:szCs w:val="20"/>
        <w:lang w:val="id-ID"/>
      </w:rPr>
    </w:pPr>
    <w:r w:rsidRPr="00B669E2">
      <w:rPr>
        <w:sz w:val="20"/>
        <w:szCs w:val="20"/>
      </w:rPr>
      <w:t>*</w:t>
    </w:r>
    <w:r>
      <w:rPr>
        <w:sz w:val="20"/>
        <w:szCs w:val="20"/>
        <w:lang w:val="id-ID"/>
      </w:rPr>
      <w:t>Erna Yuliwati. Tel +6281372194527</w:t>
    </w:r>
  </w:p>
  <w:p w:rsidR="00094A8F" w:rsidRPr="00094A8F" w:rsidRDefault="00094A8F">
    <w:pPr>
      <w:pStyle w:val="Footer"/>
      <w:rPr>
        <w:i/>
      </w:rPr>
    </w:pPr>
    <w:r w:rsidRPr="00094A8F">
      <w:rPr>
        <w:i/>
        <w:sz w:val="20"/>
        <w:szCs w:val="20"/>
        <w:lang w:val="id-ID"/>
      </w:rPr>
      <w:t xml:space="preserve">E-mail address: </w:t>
    </w:r>
    <w:r w:rsidRPr="00094A8F">
      <w:rPr>
        <w:i/>
        <w:iCs/>
        <w:sz w:val="20"/>
        <w:szCs w:val="20"/>
      </w:rPr>
      <w:t xml:space="preserve"> </w:t>
    </w:r>
    <w:r w:rsidRPr="00094A8F">
      <w:rPr>
        <w:i/>
        <w:sz w:val="20"/>
        <w:szCs w:val="20"/>
        <w:lang w:val="id-ID"/>
      </w:rPr>
      <w:t>erna_yuliwati@yahoo.com</w:t>
    </w:r>
  </w:p>
  <w:p w:rsidR="00094A8F" w:rsidRDefault="00094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FB" w:rsidRDefault="008525FB" w:rsidP="00094A8F">
      <w:r>
        <w:separator/>
      </w:r>
    </w:p>
  </w:footnote>
  <w:footnote w:type="continuationSeparator" w:id="0">
    <w:p w:rsidR="008525FB" w:rsidRDefault="008525FB" w:rsidP="00094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4F31"/>
    <w:multiLevelType w:val="hybridMultilevel"/>
    <w:tmpl w:val="155262CA"/>
    <w:lvl w:ilvl="0" w:tplc="88DC0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3D1FE5"/>
    <w:multiLevelType w:val="multilevel"/>
    <w:tmpl w:val="E698DC84"/>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2B06C59"/>
    <w:multiLevelType w:val="hybridMultilevel"/>
    <w:tmpl w:val="E120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characterSpacingControl w:val="doNotCompress"/>
  <w:footnotePr>
    <w:footnote w:id="-1"/>
    <w:footnote w:id="0"/>
  </w:footnotePr>
  <w:endnotePr>
    <w:endnote w:id="-1"/>
    <w:endnote w:id="0"/>
  </w:endnotePr>
  <w:compat/>
  <w:rsids>
    <w:rsidRoot w:val="0019729F"/>
    <w:rsid w:val="0000561A"/>
    <w:rsid w:val="0001275B"/>
    <w:rsid w:val="00014400"/>
    <w:rsid w:val="000207A7"/>
    <w:rsid w:val="00032268"/>
    <w:rsid w:val="000328BD"/>
    <w:rsid w:val="00047236"/>
    <w:rsid w:val="000634F1"/>
    <w:rsid w:val="00066FE3"/>
    <w:rsid w:val="00071FDA"/>
    <w:rsid w:val="0007217C"/>
    <w:rsid w:val="00075992"/>
    <w:rsid w:val="000873E1"/>
    <w:rsid w:val="00092205"/>
    <w:rsid w:val="00094A8F"/>
    <w:rsid w:val="00095151"/>
    <w:rsid w:val="0009549D"/>
    <w:rsid w:val="000A5914"/>
    <w:rsid w:val="000A6962"/>
    <w:rsid w:val="000A7E0D"/>
    <w:rsid w:val="000B4FDE"/>
    <w:rsid w:val="000F041B"/>
    <w:rsid w:val="00120A09"/>
    <w:rsid w:val="00124D49"/>
    <w:rsid w:val="00126B38"/>
    <w:rsid w:val="001372F5"/>
    <w:rsid w:val="00144CDB"/>
    <w:rsid w:val="00146A82"/>
    <w:rsid w:val="0015243B"/>
    <w:rsid w:val="00154AA8"/>
    <w:rsid w:val="00160B43"/>
    <w:rsid w:val="00162517"/>
    <w:rsid w:val="0016272A"/>
    <w:rsid w:val="0016412F"/>
    <w:rsid w:val="00166C06"/>
    <w:rsid w:val="00166E58"/>
    <w:rsid w:val="0017124E"/>
    <w:rsid w:val="001818AC"/>
    <w:rsid w:val="00194212"/>
    <w:rsid w:val="00196C66"/>
    <w:rsid w:val="0019729F"/>
    <w:rsid w:val="00197D7B"/>
    <w:rsid w:val="001A13F7"/>
    <w:rsid w:val="001A4205"/>
    <w:rsid w:val="001B311A"/>
    <w:rsid w:val="001C1C43"/>
    <w:rsid w:val="001C1CF6"/>
    <w:rsid w:val="001D074E"/>
    <w:rsid w:val="001D6223"/>
    <w:rsid w:val="001D66EC"/>
    <w:rsid w:val="001E2823"/>
    <w:rsid w:val="001E63FD"/>
    <w:rsid w:val="001F43D2"/>
    <w:rsid w:val="001F5EA7"/>
    <w:rsid w:val="0020195B"/>
    <w:rsid w:val="00202BD9"/>
    <w:rsid w:val="00206B02"/>
    <w:rsid w:val="0020783B"/>
    <w:rsid w:val="00207AC9"/>
    <w:rsid w:val="0022049F"/>
    <w:rsid w:val="00223306"/>
    <w:rsid w:val="00227D51"/>
    <w:rsid w:val="0023168D"/>
    <w:rsid w:val="00232980"/>
    <w:rsid w:val="00233BA9"/>
    <w:rsid w:val="00242D19"/>
    <w:rsid w:val="00245EA5"/>
    <w:rsid w:val="0024621F"/>
    <w:rsid w:val="002638AA"/>
    <w:rsid w:val="0028692B"/>
    <w:rsid w:val="00291785"/>
    <w:rsid w:val="00291CE9"/>
    <w:rsid w:val="002921BC"/>
    <w:rsid w:val="00294DAA"/>
    <w:rsid w:val="002A0A8D"/>
    <w:rsid w:val="002A588B"/>
    <w:rsid w:val="002C0C5E"/>
    <w:rsid w:val="002D03D6"/>
    <w:rsid w:val="002D34B1"/>
    <w:rsid w:val="002D39C1"/>
    <w:rsid w:val="002D6937"/>
    <w:rsid w:val="002D79E8"/>
    <w:rsid w:val="002E2C0F"/>
    <w:rsid w:val="002E3DE8"/>
    <w:rsid w:val="002E6A2E"/>
    <w:rsid w:val="002E7634"/>
    <w:rsid w:val="002F235F"/>
    <w:rsid w:val="002F3696"/>
    <w:rsid w:val="002F3A6D"/>
    <w:rsid w:val="002F5EEE"/>
    <w:rsid w:val="0031080F"/>
    <w:rsid w:val="003143D3"/>
    <w:rsid w:val="00314BE2"/>
    <w:rsid w:val="00327592"/>
    <w:rsid w:val="003365B8"/>
    <w:rsid w:val="003410A8"/>
    <w:rsid w:val="00353103"/>
    <w:rsid w:val="003653F2"/>
    <w:rsid w:val="00367FE0"/>
    <w:rsid w:val="0038684F"/>
    <w:rsid w:val="00387BEF"/>
    <w:rsid w:val="00394600"/>
    <w:rsid w:val="0039647A"/>
    <w:rsid w:val="003A6DBC"/>
    <w:rsid w:val="003B7106"/>
    <w:rsid w:val="003D5F89"/>
    <w:rsid w:val="003E0AE0"/>
    <w:rsid w:val="003E4C7F"/>
    <w:rsid w:val="003F156C"/>
    <w:rsid w:val="0040670C"/>
    <w:rsid w:val="00426716"/>
    <w:rsid w:val="00441479"/>
    <w:rsid w:val="00447AA2"/>
    <w:rsid w:val="00451587"/>
    <w:rsid w:val="004553CA"/>
    <w:rsid w:val="00461B14"/>
    <w:rsid w:val="00467326"/>
    <w:rsid w:val="00483132"/>
    <w:rsid w:val="00496792"/>
    <w:rsid w:val="004C2E30"/>
    <w:rsid w:val="004C3325"/>
    <w:rsid w:val="004C53ED"/>
    <w:rsid w:val="004C7340"/>
    <w:rsid w:val="004D0347"/>
    <w:rsid w:val="004E06F3"/>
    <w:rsid w:val="004E176C"/>
    <w:rsid w:val="004F2E47"/>
    <w:rsid w:val="004F67B3"/>
    <w:rsid w:val="005073C1"/>
    <w:rsid w:val="00513706"/>
    <w:rsid w:val="00514995"/>
    <w:rsid w:val="00524F72"/>
    <w:rsid w:val="0052798C"/>
    <w:rsid w:val="00527C39"/>
    <w:rsid w:val="005353EC"/>
    <w:rsid w:val="00537EAE"/>
    <w:rsid w:val="00542E09"/>
    <w:rsid w:val="00545490"/>
    <w:rsid w:val="00557AC6"/>
    <w:rsid w:val="00560094"/>
    <w:rsid w:val="0058264A"/>
    <w:rsid w:val="00585FDF"/>
    <w:rsid w:val="0059029F"/>
    <w:rsid w:val="0059464C"/>
    <w:rsid w:val="005A2AD3"/>
    <w:rsid w:val="005A6089"/>
    <w:rsid w:val="005A643F"/>
    <w:rsid w:val="005B2A07"/>
    <w:rsid w:val="005C34DA"/>
    <w:rsid w:val="005C5787"/>
    <w:rsid w:val="006045DF"/>
    <w:rsid w:val="00627F6F"/>
    <w:rsid w:val="00631097"/>
    <w:rsid w:val="00631396"/>
    <w:rsid w:val="006524CB"/>
    <w:rsid w:val="006530CE"/>
    <w:rsid w:val="00656729"/>
    <w:rsid w:val="00656DAC"/>
    <w:rsid w:val="00657A6C"/>
    <w:rsid w:val="0066246C"/>
    <w:rsid w:val="00665C40"/>
    <w:rsid w:val="006664EA"/>
    <w:rsid w:val="00667553"/>
    <w:rsid w:val="00671C37"/>
    <w:rsid w:val="00685E56"/>
    <w:rsid w:val="006A00F2"/>
    <w:rsid w:val="006A0865"/>
    <w:rsid w:val="006C3F91"/>
    <w:rsid w:val="006E6A0B"/>
    <w:rsid w:val="007051B9"/>
    <w:rsid w:val="0070664B"/>
    <w:rsid w:val="00717DF9"/>
    <w:rsid w:val="00717EF1"/>
    <w:rsid w:val="00726FCD"/>
    <w:rsid w:val="007370DD"/>
    <w:rsid w:val="007370DF"/>
    <w:rsid w:val="00743452"/>
    <w:rsid w:val="0076768D"/>
    <w:rsid w:val="00770FA1"/>
    <w:rsid w:val="00785A1C"/>
    <w:rsid w:val="00792504"/>
    <w:rsid w:val="007951BF"/>
    <w:rsid w:val="007A3EDC"/>
    <w:rsid w:val="007C6CF3"/>
    <w:rsid w:val="007D0E62"/>
    <w:rsid w:val="007D437E"/>
    <w:rsid w:val="00806691"/>
    <w:rsid w:val="00812EF7"/>
    <w:rsid w:val="00822228"/>
    <w:rsid w:val="00823600"/>
    <w:rsid w:val="0082499F"/>
    <w:rsid w:val="0085213B"/>
    <w:rsid w:val="008525FB"/>
    <w:rsid w:val="008576E3"/>
    <w:rsid w:val="008579F0"/>
    <w:rsid w:val="0086034F"/>
    <w:rsid w:val="00860BFB"/>
    <w:rsid w:val="00862053"/>
    <w:rsid w:val="00864587"/>
    <w:rsid w:val="0087013D"/>
    <w:rsid w:val="008753E8"/>
    <w:rsid w:val="008819A7"/>
    <w:rsid w:val="008840FB"/>
    <w:rsid w:val="008A5038"/>
    <w:rsid w:val="008B2488"/>
    <w:rsid w:val="008C0609"/>
    <w:rsid w:val="008D00BF"/>
    <w:rsid w:val="008D0B2A"/>
    <w:rsid w:val="008D385C"/>
    <w:rsid w:val="008D5970"/>
    <w:rsid w:val="008E540C"/>
    <w:rsid w:val="008E7E83"/>
    <w:rsid w:val="009527F5"/>
    <w:rsid w:val="00952E40"/>
    <w:rsid w:val="00955F73"/>
    <w:rsid w:val="009662CE"/>
    <w:rsid w:val="00975964"/>
    <w:rsid w:val="00992A6C"/>
    <w:rsid w:val="009E237D"/>
    <w:rsid w:val="009E2A65"/>
    <w:rsid w:val="009E5266"/>
    <w:rsid w:val="009E5C8C"/>
    <w:rsid w:val="009F65D8"/>
    <w:rsid w:val="00A01721"/>
    <w:rsid w:val="00A061B2"/>
    <w:rsid w:val="00A11A04"/>
    <w:rsid w:val="00A165B7"/>
    <w:rsid w:val="00A17106"/>
    <w:rsid w:val="00A21887"/>
    <w:rsid w:val="00A230B3"/>
    <w:rsid w:val="00A23396"/>
    <w:rsid w:val="00A51327"/>
    <w:rsid w:val="00A554A8"/>
    <w:rsid w:val="00A55D5F"/>
    <w:rsid w:val="00A55FF2"/>
    <w:rsid w:val="00A563C6"/>
    <w:rsid w:val="00A90B27"/>
    <w:rsid w:val="00A9368A"/>
    <w:rsid w:val="00AA5DF1"/>
    <w:rsid w:val="00AB6AF0"/>
    <w:rsid w:val="00AB7718"/>
    <w:rsid w:val="00AC35BA"/>
    <w:rsid w:val="00AC7E61"/>
    <w:rsid w:val="00AE0EBD"/>
    <w:rsid w:val="00AE2943"/>
    <w:rsid w:val="00AE4DBD"/>
    <w:rsid w:val="00AF00D0"/>
    <w:rsid w:val="00AF3BD1"/>
    <w:rsid w:val="00AF6A64"/>
    <w:rsid w:val="00B01AD9"/>
    <w:rsid w:val="00B07218"/>
    <w:rsid w:val="00B12C98"/>
    <w:rsid w:val="00B1305D"/>
    <w:rsid w:val="00B16B7D"/>
    <w:rsid w:val="00B25C8F"/>
    <w:rsid w:val="00B27F43"/>
    <w:rsid w:val="00B42100"/>
    <w:rsid w:val="00B42C9C"/>
    <w:rsid w:val="00B7087E"/>
    <w:rsid w:val="00B71342"/>
    <w:rsid w:val="00B7202D"/>
    <w:rsid w:val="00B74742"/>
    <w:rsid w:val="00B8356D"/>
    <w:rsid w:val="00B9148D"/>
    <w:rsid w:val="00BB1EF9"/>
    <w:rsid w:val="00BC31D0"/>
    <w:rsid w:val="00BC7415"/>
    <w:rsid w:val="00BD1EE9"/>
    <w:rsid w:val="00BD253C"/>
    <w:rsid w:val="00BE1F2D"/>
    <w:rsid w:val="00BE4F35"/>
    <w:rsid w:val="00BE56F3"/>
    <w:rsid w:val="00BF3530"/>
    <w:rsid w:val="00BF392C"/>
    <w:rsid w:val="00C06770"/>
    <w:rsid w:val="00C10D55"/>
    <w:rsid w:val="00C20991"/>
    <w:rsid w:val="00C2199C"/>
    <w:rsid w:val="00C239CE"/>
    <w:rsid w:val="00C52D77"/>
    <w:rsid w:val="00C53A44"/>
    <w:rsid w:val="00C606D7"/>
    <w:rsid w:val="00C676FE"/>
    <w:rsid w:val="00C72D8C"/>
    <w:rsid w:val="00C73B85"/>
    <w:rsid w:val="00C8643C"/>
    <w:rsid w:val="00C86AF6"/>
    <w:rsid w:val="00CA0535"/>
    <w:rsid w:val="00CA7877"/>
    <w:rsid w:val="00CB0268"/>
    <w:rsid w:val="00CB5893"/>
    <w:rsid w:val="00CC5C15"/>
    <w:rsid w:val="00CD3877"/>
    <w:rsid w:val="00CF090D"/>
    <w:rsid w:val="00CF6AF2"/>
    <w:rsid w:val="00CF6B32"/>
    <w:rsid w:val="00D01360"/>
    <w:rsid w:val="00D1617D"/>
    <w:rsid w:val="00D177F0"/>
    <w:rsid w:val="00D224B6"/>
    <w:rsid w:val="00D24138"/>
    <w:rsid w:val="00D248A4"/>
    <w:rsid w:val="00D31F89"/>
    <w:rsid w:val="00D51154"/>
    <w:rsid w:val="00D61D62"/>
    <w:rsid w:val="00D62BE0"/>
    <w:rsid w:val="00D664DD"/>
    <w:rsid w:val="00D72261"/>
    <w:rsid w:val="00D74C36"/>
    <w:rsid w:val="00D763AD"/>
    <w:rsid w:val="00D77C0F"/>
    <w:rsid w:val="00D81AC4"/>
    <w:rsid w:val="00D84AB7"/>
    <w:rsid w:val="00D85221"/>
    <w:rsid w:val="00D91590"/>
    <w:rsid w:val="00D94007"/>
    <w:rsid w:val="00DA0212"/>
    <w:rsid w:val="00DB369F"/>
    <w:rsid w:val="00DC1716"/>
    <w:rsid w:val="00DC1BAB"/>
    <w:rsid w:val="00DD2300"/>
    <w:rsid w:val="00DE44B8"/>
    <w:rsid w:val="00DF35D0"/>
    <w:rsid w:val="00E0029F"/>
    <w:rsid w:val="00E050A9"/>
    <w:rsid w:val="00E17116"/>
    <w:rsid w:val="00E221CC"/>
    <w:rsid w:val="00E2511D"/>
    <w:rsid w:val="00E33236"/>
    <w:rsid w:val="00E43F15"/>
    <w:rsid w:val="00E74D65"/>
    <w:rsid w:val="00E809EA"/>
    <w:rsid w:val="00E8279A"/>
    <w:rsid w:val="00E8391C"/>
    <w:rsid w:val="00E926EB"/>
    <w:rsid w:val="00EA4F9C"/>
    <w:rsid w:val="00EB5E97"/>
    <w:rsid w:val="00EC47D6"/>
    <w:rsid w:val="00ED3A4F"/>
    <w:rsid w:val="00EE0703"/>
    <w:rsid w:val="00EE3005"/>
    <w:rsid w:val="00EF43B4"/>
    <w:rsid w:val="00F02B2B"/>
    <w:rsid w:val="00F12326"/>
    <w:rsid w:val="00F33BA8"/>
    <w:rsid w:val="00F33D11"/>
    <w:rsid w:val="00F3715E"/>
    <w:rsid w:val="00F37EEA"/>
    <w:rsid w:val="00F4767B"/>
    <w:rsid w:val="00F600D0"/>
    <w:rsid w:val="00F60416"/>
    <w:rsid w:val="00F63642"/>
    <w:rsid w:val="00F63A56"/>
    <w:rsid w:val="00F66AE7"/>
    <w:rsid w:val="00F71E80"/>
    <w:rsid w:val="00F81878"/>
    <w:rsid w:val="00F81DCE"/>
    <w:rsid w:val="00F85768"/>
    <w:rsid w:val="00F85CE1"/>
    <w:rsid w:val="00F93BF6"/>
    <w:rsid w:val="00FA3735"/>
    <w:rsid w:val="00FA5485"/>
    <w:rsid w:val="00FC1ED6"/>
    <w:rsid w:val="00FC6B2E"/>
    <w:rsid w:val="00FD7C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9F"/>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9729F"/>
    <w:rPr>
      <w:rFonts w:ascii="Tahoma" w:hAnsi="Tahoma" w:cs="Tahoma"/>
      <w:sz w:val="16"/>
      <w:szCs w:val="16"/>
    </w:rPr>
  </w:style>
  <w:style w:type="character" w:customStyle="1" w:styleId="BalloonTextChar">
    <w:name w:val="Balloon Text Char"/>
    <w:basedOn w:val="DefaultParagraphFont"/>
    <w:link w:val="BalloonText"/>
    <w:uiPriority w:val="99"/>
    <w:semiHidden/>
    <w:rsid w:val="0019729F"/>
    <w:rPr>
      <w:rFonts w:ascii="Tahoma" w:eastAsia="MS Mincho" w:hAnsi="Tahoma" w:cs="Tahoma"/>
      <w:sz w:val="16"/>
      <w:szCs w:val="16"/>
      <w:lang w:val="en-US"/>
    </w:rPr>
  </w:style>
  <w:style w:type="character" w:styleId="Hyperlink">
    <w:name w:val="Hyperlink"/>
    <w:rsid w:val="0019729F"/>
    <w:rPr>
      <w:b/>
      <w:bCs/>
      <w:strike w:val="0"/>
      <w:dstrike w:val="0"/>
      <w:color w:val="0F6B94"/>
      <w:u w:val="none"/>
      <w:effect w:val="none"/>
    </w:rPr>
  </w:style>
  <w:style w:type="character" w:styleId="CommentReference">
    <w:name w:val="annotation reference"/>
    <w:rsid w:val="0019729F"/>
    <w:rPr>
      <w:sz w:val="18"/>
      <w:szCs w:val="18"/>
    </w:rPr>
  </w:style>
  <w:style w:type="paragraph" w:styleId="CommentText">
    <w:name w:val="annotation text"/>
    <w:basedOn w:val="Normal"/>
    <w:link w:val="CommentTextChar"/>
    <w:rsid w:val="0019729F"/>
  </w:style>
  <w:style w:type="character" w:customStyle="1" w:styleId="CommentTextChar">
    <w:name w:val="Comment Text Char"/>
    <w:basedOn w:val="DefaultParagraphFont"/>
    <w:link w:val="CommentText"/>
    <w:rsid w:val="0019729F"/>
    <w:rPr>
      <w:rFonts w:ascii="Times New Roman" w:eastAsia="MS Mincho" w:hAnsi="Times New Roman" w:cs="Times New Roman"/>
      <w:sz w:val="24"/>
      <w:szCs w:val="24"/>
      <w:lang w:val="en-US"/>
    </w:rPr>
  </w:style>
  <w:style w:type="paragraph" w:styleId="Header">
    <w:name w:val="header"/>
    <w:basedOn w:val="Normal"/>
    <w:link w:val="HeaderChar"/>
    <w:uiPriority w:val="99"/>
    <w:semiHidden/>
    <w:unhideWhenUsed/>
    <w:rsid w:val="00094A8F"/>
    <w:pPr>
      <w:tabs>
        <w:tab w:val="center" w:pos="4513"/>
        <w:tab w:val="right" w:pos="9026"/>
      </w:tabs>
    </w:pPr>
  </w:style>
  <w:style w:type="character" w:customStyle="1" w:styleId="HeaderChar">
    <w:name w:val="Header Char"/>
    <w:basedOn w:val="DefaultParagraphFont"/>
    <w:link w:val="Header"/>
    <w:uiPriority w:val="99"/>
    <w:semiHidden/>
    <w:rsid w:val="00094A8F"/>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094A8F"/>
    <w:pPr>
      <w:tabs>
        <w:tab w:val="center" w:pos="4513"/>
        <w:tab w:val="right" w:pos="9026"/>
      </w:tabs>
    </w:pPr>
  </w:style>
  <w:style w:type="character" w:customStyle="1" w:styleId="FooterChar">
    <w:name w:val="Footer Char"/>
    <w:basedOn w:val="DefaultParagraphFont"/>
    <w:link w:val="Footer"/>
    <w:uiPriority w:val="99"/>
    <w:rsid w:val="00094A8F"/>
    <w:rPr>
      <w:rFonts w:ascii="Times New Roman" w:eastAsia="MS Mincho"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riconsulting.com/PEP"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scatterChart>
        <c:scatterStyle val="smoothMarker"/>
        <c:ser>
          <c:idx val="1"/>
          <c:order val="0"/>
          <c:tx>
            <c:v>encased</c:v>
          </c:tx>
          <c:xVal>
            <c:numRef>
              <c:f>Sheet1!$D$4:$D$19</c:f>
              <c:numCache>
                <c:formatCode>General</c:formatCode>
                <c:ptCount val="16"/>
                <c:pt idx="0">
                  <c:v>1.7800000000000009</c:v>
                </c:pt>
                <c:pt idx="1">
                  <c:v>1.55</c:v>
                </c:pt>
                <c:pt idx="2">
                  <c:v>0.70000000000000062</c:v>
                </c:pt>
                <c:pt idx="3">
                  <c:v>0.60000000000000064</c:v>
                </c:pt>
                <c:pt idx="4">
                  <c:v>0.5</c:v>
                </c:pt>
                <c:pt idx="5">
                  <c:v>0.42000000000000032</c:v>
                </c:pt>
                <c:pt idx="6">
                  <c:v>0.4</c:v>
                </c:pt>
                <c:pt idx="7">
                  <c:v>0.4</c:v>
                </c:pt>
                <c:pt idx="8">
                  <c:v>0.38000000000000073</c:v>
                </c:pt>
                <c:pt idx="9">
                  <c:v>0.35000000000000031</c:v>
                </c:pt>
                <c:pt idx="10">
                  <c:v>0.30000000000000032</c:v>
                </c:pt>
                <c:pt idx="11">
                  <c:v>0.30000000000000032</c:v>
                </c:pt>
                <c:pt idx="12">
                  <c:v>0.28000000000000008</c:v>
                </c:pt>
                <c:pt idx="13">
                  <c:v>0.27</c:v>
                </c:pt>
                <c:pt idx="14">
                  <c:v>0.25</c:v>
                </c:pt>
                <c:pt idx="15">
                  <c:v>0.22000000000000011</c:v>
                </c:pt>
              </c:numCache>
            </c:numRef>
          </c:xVal>
          <c:yVal>
            <c:numRef>
              <c:f>Sheet1!$C$4:$C$19</c:f>
              <c:numCache>
                <c:formatCode>General</c:formatCode>
                <c:ptCount val="16"/>
                <c:pt idx="0">
                  <c:v>2</c:v>
                </c:pt>
                <c:pt idx="1">
                  <c:v>3</c:v>
                </c:pt>
                <c:pt idx="2">
                  <c:v>4</c:v>
                </c:pt>
                <c:pt idx="3">
                  <c:v>5</c:v>
                </c:pt>
                <c:pt idx="4">
                  <c:v>7</c:v>
                </c:pt>
                <c:pt idx="5">
                  <c:v>10</c:v>
                </c:pt>
                <c:pt idx="6">
                  <c:v>13</c:v>
                </c:pt>
                <c:pt idx="7">
                  <c:v>16</c:v>
                </c:pt>
                <c:pt idx="8">
                  <c:v>19</c:v>
                </c:pt>
                <c:pt idx="9">
                  <c:v>22</c:v>
                </c:pt>
                <c:pt idx="10">
                  <c:v>25</c:v>
                </c:pt>
                <c:pt idx="11">
                  <c:v>28</c:v>
                </c:pt>
                <c:pt idx="12">
                  <c:v>31</c:v>
                </c:pt>
                <c:pt idx="13">
                  <c:v>34</c:v>
                </c:pt>
                <c:pt idx="14">
                  <c:v>37</c:v>
                </c:pt>
                <c:pt idx="15">
                  <c:v>40</c:v>
                </c:pt>
              </c:numCache>
            </c:numRef>
          </c:yVal>
          <c:smooth val="1"/>
        </c:ser>
        <c:ser>
          <c:idx val="2"/>
          <c:order val="1"/>
          <c:tx>
            <c:v>submerged</c:v>
          </c:tx>
          <c:xVal>
            <c:numRef>
              <c:f>Sheet1!$A$4:$A$19</c:f>
              <c:numCache>
                <c:formatCode>General</c:formatCode>
                <c:ptCount val="16"/>
                <c:pt idx="0">
                  <c:v>0.77000000000000102</c:v>
                </c:pt>
                <c:pt idx="1">
                  <c:v>0.60000000000000064</c:v>
                </c:pt>
                <c:pt idx="2">
                  <c:v>0.5</c:v>
                </c:pt>
                <c:pt idx="3">
                  <c:v>0.4</c:v>
                </c:pt>
                <c:pt idx="4">
                  <c:v>0.38000000000000073</c:v>
                </c:pt>
                <c:pt idx="5">
                  <c:v>0.36000000000000032</c:v>
                </c:pt>
                <c:pt idx="6">
                  <c:v>0.25</c:v>
                </c:pt>
                <c:pt idx="7">
                  <c:v>0.24000000000000021</c:v>
                </c:pt>
                <c:pt idx="8">
                  <c:v>0.24000000000000021</c:v>
                </c:pt>
                <c:pt idx="9">
                  <c:v>0.22000000000000011</c:v>
                </c:pt>
                <c:pt idx="10">
                  <c:v>0.22000000000000011</c:v>
                </c:pt>
                <c:pt idx="11">
                  <c:v>0.21000000000000021</c:v>
                </c:pt>
                <c:pt idx="12">
                  <c:v>0.2</c:v>
                </c:pt>
                <c:pt idx="13">
                  <c:v>0.2</c:v>
                </c:pt>
                <c:pt idx="14">
                  <c:v>0.18000000000000024</c:v>
                </c:pt>
                <c:pt idx="15">
                  <c:v>0.18000000000000024</c:v>
                </c:pt>
              </c:numCache>
            </c:numRef>
          </c:xVal>
          <c:yVal>
            <c:numRef>
              <c:f>Sheet1!$B$4:$B$19</c:f>
              <c:numCache>
                <c:formatCode>General</c:formatCode>
                <c:ptCount val="16"/>
                <c:pt idx="0">
                  <c:v>2</c:v>
                </c:pt>
                <c:pt idx="1">
                  <c:v>3</c:v>
                </c:pt>
                <c:pt idx="2">
                  <c:v>4</c:v>
                </c:pt>
                <c:pt idx="3">
                  <c:v>5</c:v>
                </c:pt>
                <c:pt idx="4">
                  <c:v>7</c:v>
                </c:pt>
                <c:pt idx="5">
                  <c:v>10</c:v>
                </c:pt>
                <c:pt idx="6">
                  <c:v>13</c:v>
                </c:pt>
                <c:pt idx="7">
                  <c:v>16</c:v>
                </c:pt>
                <c:pt idx="8">
                  <c:v>19</c:v>
                </c:pt>
                <c:pt idx="9">
                  <c:v>22</c:v>
                </c:pt>
                <c:pt idx="10">
                  <c:v>25</c:v>
                </c:pt>
                <c:pt idx="11">
                  <c:v>28</c:v>
                </c:pt>
                <c:pt idx="12">
                  <c:v>31</c:v>
                </c:pt>
                <c:pt idx="13">
                  <c:v>34</c:v>
                </c:pt>
                <c:pt idx="14">
                  <c:v>37</c:v>
                </c:pt>
                <c:pt idx="15">
                  <c:v>40</c:v>
                </c:pt>
              </c:numCache>
            </c:numRef>
          </c:yVal>
          <c:smooth val="1"/>
        </c:ser>
        <c:axId val="97720192"/>
        <c:axId val="97761536"/>
      </c:scatterChart>
      <c:valAx>
        <c:axId val="97720192"/>
        <c:scaling>
          <c:orientation val="minMax"/>
        </c:scaling>
        <c:axPos val="b"/>
        <c:title>
          <c:tx>
            <c:rich>
              <a:bodyPr/>
              <a:lstStyle/>
              <a:p>
                <a:pPr>
                  <a:defRPr sz="994" b="1" i="0" u="none" strike="noStrike" baseline="0">
                    <a:solidFill>
                      <a:srgbClr val="000000"/>
                    </a:solidFill>
                    <a:latin typeface="Calibri"/>
                    <a:ea typeface="Calibri"/>
                    <a:cs typeface="Calibri"/>
                  </a:defRPr>
                </a:pPr>
                <a:r>
                  <a:rPr lang="id-ID"/>
                  <a:t>USD/USG</a:t>
                </a:r>
              </a:p>
            </c:rich>
          </c:tx>
        </c:title>
        <c:numFmt formatCode="General" sourceLinked="1"/>
        <c:tickLblPos val="nextTo"/>
        <c:txPr>
          <a:bodyPr rot="0" vert="horz"/>
          <a:lstStyle/>
          <a:p>
            <a:pPr>
              <a:defRPr sz="994" b="0" i="0" u="none" strike="noStrike" baseline="0">
                <a:solidFill>
                  <a:srgbClr val="000000"/>
                </a:solidFill>
                <a:latin typeface="Calibri"/>
                <a:ea typeface="Calibri"/>
                <a:cs typeface="Calibri"/>
              </a:defRPr>
            </a:pPr>
            <a:endParaRPr lang="id-ID"/>
          </a:p>
        </c:txPr>
        <c:crossAx val="97761536"/>
        <c:crosses val="autoZero"/>
        <c:crossBetween val="midCat"/>
      </c:valAx>
      <c:valAx>
        <c:axId val="97761536"/>
        <c:scaling>
          <c:orientation val="minMax"/>
        </c:scaling>
        <c:axPos val="l"/>
        <c:majorGridlines/>
        <c:title>
          <c:tx>
            <c:rich>
              <a:bodyPr/>
              <a:lstStyle/>
              <a:p>
                <a:pPr>
                  <a:defRPr sz="994" b="1" i="0" u="none" strike="noStrike" baseline="0">
                    <a:solidFill>
                      <a:srgbClr val="000000"/>
                    </a:solidFill>
                    <a:latin typeface="Calibri"/>
                    <a:ea typeface="Calibri"/>
                    <a:cs typeface="Calibri"/>
                  </a:defRPr>
                </a:pPr>
                <a:r>
                  <a:rPr lang="id-ID"/>
                  <a:t>MGD</a:t>
                </a:r>
              </a:p>
            </c:rich>
          </c:tx>
        </c:title>
        <c:numFmt formatCode="General" sourceLinked="1"/>
        <c:tickLblPos val="nextTo"/>
        <c:crossAx val="97720192"/>
        <c:crosses val="autoZero"/>
        <c:crossBetween val="midCat"/>
      </c:valAx>
    </c:plotArea>
    <c:legend>
      <c:legendPos val="r"/>
    </c:legend>
    <c:plotVisOnly val="1"/>
    <c:dispBlanksAs val="gap"/>
  </c:chart>
  <c:spPr>
    <a:solidFill>
      <a:schemeClr val="bg1">
        <a:lumMod val="85000"/>
      </a:schemeClr>
    </a:solidFill>
    <a:ln>
      <a:solidFill>
        <a:schemeClr val="tx1">
          <a:lumMod val="95000"/>
          <a:lumOff val="5000"/>
        </a:schemeClr>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2</cp:revision>
  <dcterms:created xsi:type="dcterms:W3CDTF">2016-01-30T03:01:00Z</dcterms:created>
  <dcterms:modified xsi:type="dcterms:W3CDTF">2016-01-30T03:01:00Z</dcterms:modified>
</cp:coreProperties>
</file>