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9F" w:rsidRDefault="0041608B" w:rsidP="007D12F3">
      <w:pPr>
        <w:spacing w:after="0" w:line="240" w:lineRule="auto"/>
        <w:jc w:val="center"/>
        <w:rPr>
          <w:rFonts w:ascii="Times New Roman" w:hAnsi="Times New Roman" w:cs="Times New Roman"/>
          <w:b/>
          <w:sz w:val="24"/>
          <w:szCs w:val="24"/>
        </w:rPr>
      </w:pPr>
      <w:r w:rsidRPr="0082290D">
        <w:rPr>
          <w:rFonts w:ascii="Times New Roman" w:hAnsi="Times New Roman" w:cs="Times New Roman"/>
          <w:b/>
          <w:sz w:val="28"/>
          <w:szCs w:val="24"/>
        </w:rPr>
        <w:t>KINERJA KEUANGAN MELALUI PENDEKATAN LIKUIDITAS, SOLVABILITAS, DAN RENTABILITAS PADA PT. BANK MANDIRI CABANG RSU PALEMBANG</w:t>
      </w:r>
    </w:p>
    <w:p w:rsidR="00865F50" w:rsidRPr="00026F93" w:rsidRDefault="00865F50" w:rsidP="00865F50">
      <w:pPr>
        <w:spacing w:after="0" w:line="360" w:lineRule="auto"/>
        <w:jc w:val="center"/>
        <w:rPr>
          <w:rFonts w:ascii="Times New Roman" w:hAnsi="Times New Roman" w:cs="Times New Roman"/>
          <w:b/>
          <w:sz w:val="24"/>
          <w:szCs w:val="24"/>
        </w:rPr>
      </w:pPr>
    </w:p>
    <w:p w:rsidR="00026F93" w:rsidRPr="0082290D" w:rsidRDefault="00915F90" w:rsidP="0082290D">
      <w:pPr>
        <w:spacing w:after="0"/>
        <w:jc w:val="center"/>
        <w:rPr>
          <w:rFonts w:ascii="Times New Roman" w:hAnsi="Times New Roman" w:cs="Times New Roman"/>
          <w:b/>
          <w:sz w:val="20"/>
          <w:szCs w:val="24"/>
          <w:lang w:val="id-ID"/>
        </w:rPr>
      </w:pPr>
      <w:r w:rsidRPr="0082290D">
        <w:rPr>
          <w:rFonts w:ascii="Times New Roman" w:hAnsi="Times New Roman" w:cs="Times New Roman"/>
          <w:b/>
          <w:sz w:val="20"/>
          <w:szCs w:val="24"/>
        </w:rPr>
        <w:t xml:space="preserve"> </w:t>
      </w:r>
      <w:r w:rsidR="0082290D" w:rsidRPr="0082290D">
        <w:rPr>
          <w:rFonts w:ascii="Times New Roman" w:hAnsi="Times New Roman" w:cs="Times New Roman"/>
          <w:b/>
          <w:sz w:val="20"/>
          <w:szCs w:val="24"/>
          <w:vertAlign w:val="superscript"/>
          <w:lang w:val="id-ID"/>
        </w:rPr>
        <w:t>1</w:t>
      </w:r>
      <w:proofErr w:type="spellStart"/>
      <w:r w:rsidRPr="0082290D">
        <w:rPr>
          <w:rFonts w:ascii="Times New Roman" w:hAnsi="Times New Roman" w:cs="Times New Roman"/>
          <w:b/>
          <w:sz w:val="20"/>
          <w:szCs w:val="24"/>
        </w:rPr>
        <w:t>Dwinta</w:t>
      </w:r>
      <w:proofErr w:type="spellEnd"/>
      <w:r w:rsidRPr="0082290D">
        <w:rPr>
          <w:rFonts w:ascii="Times New Roman" w:hAnsi="Times New Roman" w:cs="Times New Roman"/>
          <w:b/>
          <w:sz w:val="20"/>
          <w:szCs w:val="24"/>
        </w:rPr>
        <w:t xml:space="preserve"> Juliana </w:t>
      </w:r>
      <w:proofErr w:type="spellStart"/>
      <w:r w:rsidRPr="0082290D">
        <w:rPr>
          <w:rFonts w:ascii="Times New Roman" w:hAnsi="Times New Roman" w:cs="Times New Roman"/>
          <w:b/>
          <w:sz w:val="20"/>
          <w:szCs w:val="24"/>
        </w:rPr>
        <w:t>Rizkiyan</w:t>
      </w:r>
      <w:proofErr w:type="spellEnd"/>
      <w:r w:rsidR="0082290D">
        <w:rPr>
          <w:rFonts w:ascii="Times New Roman" w:hAnsi="Times New Roman" w:cs="Times New Roman"/>
          <w:b/>
          <w:sz w:val="20"/>
          <w:szCs w:val="24"/>
          <w:lang w:val="id-ID"/>
        </w:rPr>
        <w:t>,</w:t>
      </w:r>
      <w:r w:rsidR="00026F93" w:rsidRPr="0082290D">
        <w:rPr>
          <w:rFonts w:ascii="Times New Roman" w:hAnsi="Times New Roman" w:cs="Times New Roman"/>
          <w:b/>
          <w:sz w:val="20"/>
          <w:szCs w:val="24"/>
        </w:rPr>
        <w:t xml:space="preserve"> </w:t>
      </w:r>
      <w:r w:rsidR="0082290D" w:rsidRPr="0082290D">
        <w:rPr>
          <w:rFonts w:ascii="Times New Roman" w:hAnsi="Times New Roman" w:cs="Times New Roman"/>
          <w:b/>
          <w:sz w:val="20"/>
          <w:szCs w:val="24"/>
          <w:vertAlign w:val="superscript"/>
          <w:lang w:val="id-ID"/>
        </w:rPr>
        <w:t>2</w:t>
      </w:r>
      <w:proofErr w:type="spellStart"/>
      <w:r w:rsidR="00026F93" w:rsidRPr="0082290D">
        <w:rPr>
          <w:rFonts w:ascii="Times New Roman" w:hAnsi="Times New Roman" w:cs="Times New Roman"/>
          <w:b/>
          <w:sz w:val="20"/>
          <w:szCs w:val="24"/>
        </w:rPr>
        <w:t>Koesharijadi</w:t>
      </w:r>
      <w:proofErr w:type="spellEnd"/>
      <w:r w:rsidR="0082290D">
        <w:rPr>
          <w:rFonts w:ascii="Times New Roman" w:hAnsi="Times New Roman" w:cs="Times New Roman"/>
          <w:b/>
          <w:sz w:val="20"/>
          <w:szCs w:val="24"/>
          <w:lang w:val="id-ID"/>
        </w:rPr>
        <w:t>,</w:t>
      </w:r>
      <w:r w:rsidR="0082290D">
        <w:rPr>
          <w:rFonts w:ascii="Times New Roman" w:hAnsi="Times New Roman" w:cs="Times New Roman"/>
          <w:b/>
          <w:sz w:val="20"/>
          <w:szCs w:val="24"/>
        </w:rPr>
        <w:t xml:space="preserve"> </w:t>
      </w:r>
      <w:r w:rsidR="0082290D" w:rsidRPr="0082290D">
        <w:rPr>
          <w:rFonts w:ascii="Times New Roman" w:hAnsi="Times New Roman" w:cs="Times New Roman"/>
          <w:b/>
          <w:sz w:val="20"/>
          <w:szCs w:val="24"/>
          <w:vertAlign w:val="superscript"/>
          <w:lang w:val="id-ID"/>
        </w:rPr>
        <w:t>3</w:t>
      </w:r>
      <w:proofErr w:type="spellStart"/>
      <w:r w:rsidR="0082290D">
        <w:rPr>
          <w:rFonts w:ascii="Times New Roman" w:hAnsi="Times New Roman" w:cs="Times New Roman"/>
          <w:b/>
          <w:sz w:val="20"/>
          <w:szCs w:val="24"/>
        </w:rPr>
        <w:t>Dedi</w:t>
      </w:r>
      <w:proofErr w:type="spellEnd"/>
      <w:r w:rsidR="0082290D">
        <w:rPr>
          <w:rFonts w:ascii="Times New Roman" w:hAnsi="Times New Roman" w:cs="Times New Roman"/>
          <w:b/>
          <w:sz w:val="20"/>
          <w:szCs w:val="24"/>
        </w:rPr>
        <w:t xml:space="preserve"> </w:t>
      </w:r>
      <w:proofErr w:type="spellStart"/>
      <w:r w:rsidR="0082290D">
        <w:rPr>
          <w:rFonts w:ascii="Times New Roman" w:hAnsi="Times New Roman" w:cs="Times New Roman"/>
          <w:b/>
          <w:sz w:val="20"/>
          <w:szCs w:val="24"/>
        </w:rPr>
        <w:t>Rianto</w:t>
      </w:r>
      <w:proofErr w:type="spellEnd"/>
      <w:r w:rsidR="0082290D">
        <w:rPr>
          <w:rFonts w:ascii="Times New Roman" w:hAnsi="Times New Roman" w:cs="Times New Roman"/>
          <w:b/>
          <w:sz w:val="20"/>
          <w:szCs w:val="24"/>
        </w:rPr>
        <w:t xml:space="preserve"> </w:t>
      </w:r>
      <w:proofErr w:type="spellStart"/>
      <w:r w:rsidR="0082290D">
        <w:rPr>
          <w:rFonts w:ascii="Times New Roman" w:hAnsi="Times New Roman" w:cs="Times New Roman"/>
          <w:b/>
          <w:sz w:val="20"/>
          <w:szCs w:val="24"/>
        </w:rPr>
        <w:t>Rahadi</w:t>
      </w:r>
      <w:proofErr w:type="spellEnd"/>
    </w:p>
    <w:p w:rsidR="001B2B9F" w:rsidRPr="0082290D" w:rsidRDefault="001B2B9F" w:rsidP="00865F50">
      <w:pPr>
        <w:spacing w:after="0"/>
        <w:jc w:val="center"/>
        <w:rPr>
          <w:rFonts w:ascii="Times New Roman" w:hAnsi="Times New Roman" w:cs="Times New Roman"/>
          <w:sz w:val="20"/>
          <w:szCs w:val="24"/>
        </w:rPr>
      </w:pPr>
      <w:r w:rsidRPr="0082290D">
        <w:rPr>
          <w:rFonts w:ascii="Times New Roman" w:hAnsi="Times New Roman" w:cs="Times New Roman"/>
          <w:sz w:val="20"/>
          <w:szCs w:val="24"/>
        </w:rPr>
        <w:t xml:space="preserve">Program Magister </w:t>
      </w:r>
      <w:proofErr w:type="spellStart"/>
      <w:r w:rsidRPr="0082290D">
        <w:rPr>
          <w:rFonts w:ascii="Times New Roman" w:hAnsi="Times New Roman" w:cs="Times New Roman"/>
          <w:sz w:val="20"/>
          <w:szCs w:val="24"/>
        </w:rPr>
        <w:t>Manajemen</w:t>
      </w:r>
      <w:proofErr w:type="spellEnd"/>
      <w:r w:rsidR="0082290D">
        <w:rPr>
          <w:rFonts w:ascii="Times New Roman" w:hAnsi="Times New Roman" w:cs="Times New Roman"/>
          <w:sz w:val="20"/>
          <w:szCs w:val="24"/>
          <w:lang w:val="id-ID"/>
        </w:rPr>
        <w:t xml:space="preserve">, </w:t>
      </w:r>
      <w:proofErr w:type="spellStart"/>
      <w:r w:rsidRPr="0082290D">
        <w:rPr>
          <w:rFonts w:ascii="Times New Roman" w:hAnsi="Times New Roman" w:cs="Times New Roman"/>
          <w:sz w:val="20"/>
          <w:szCs w:val="24"/>
        </w:rPr>
        <w:t>Universitas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Bina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Darma</w:t>
      </w:r>
      <w:proofErr w:type="spellEnd"/>
    </w:p>
    <w:p w:rsidR="001B2B9F" w:rsidRPr="0082290D" w:rsidRDefault="001B2B9F" w:rsidP="00865F50">
      <w:pPr>
        <w:spacing w:after="0"/>
        <w:jc w:val="center"/>
        <w:rPr>
          <w:rFonts w:ascii="Times New Roman" w:hAnsi="Times New Roman" w:cs="Times New Roman"/>
          <w:sz w:val="20"/>
          <w:szCs w:val="24"/>
        </w:rPr>
      </w:pPr>
      <w:r w:rsidRPr="0082290D">
        <w:rPr>
          <w:rFonts w:ascii="Times New Roman" w:hAnsi="Times New Roman" w:cs="Times New Roman"/>
          <w:sz w:val="20"/>
          <w:szCs w:val="24"/>
        </w:rPr>
        <w:t xml:space="preserve">Jl. A. </w:t>
      </w:r>
      <w:proofErr w:type="spellStart"/>
      <w:r w:rsidRPr="0082290D">
        <w:rPr>
          <w:rFonts w:ascii="Times New Roman" w:hAnsi="Times New Roman" w:cs="Times New Roman"/>
          <w:sz w:val="20"/>
          <w:szCs w:val="24"/>
        </w:rPr>
        <w:t>Yani</w:t>
      </w:r>
      <w:proofErr w:type="spellEnd"/>
      <w:r w:rsidRPr="0082290D">
        <w:rPr>
          <w:rFonts w:ascii="Times New Roman" w:hAnsi="Times New Roman" w:cs="Times New Roman"/>
          <w:sz w:val="20"/>
          <w:szCs w:val="24"/>
        </w:rPr>
        <w:t xml:space="preserve"> No 12, Palembang 30624, Indonesia</w:t>
      </w:r>
    </w:p>
    <w:p w:rsidR="00915F90" w:rsidRDefault="00915F90" w:rsidP="001B2B9F">
      <w:pPr>
        <w:spacing w:after="0" w:line="240" w:lineRule="auto"/>
        <w:rPr>
          <w:rFonts w:ascii="Times New Roman" w:hAnsi="Times New Roman" w:cs="Times New Roman"/>
          <w:b/>
          <w:sz w:val="24"/>
          <w:szCs w:val="24"/>
        </w:rPr>
      </w:pPr>
    </w:p>
    <w:p w:rsidR="00915F90" w:rsidRPr="0082290D" w:rsidRDefault="001B2B9F" w:rsidP="005934B7">
      <w:pPr>
        <w:spacing w:after="0" w:line="240" w:lineRule="auto"/>
        <w:ind w:left="567" w:right="680"/>
        <w:jc w:val="both"/>
        <w:rPr>
          <w:rFonts w:ascii="Times New Roman" w:hAnsi="Times New Roman" w:cs="Times New Roman"/>
          <w:sz w:val="18"/>
          <w:szCs w:val="24"/>
        </w:rPr>
      </w:pPr>
      <w:proofErr w:type="spellStart"/>
      <w:proofErr w:type="gramStart"/>
      <w:r w:rsidRPr="0082290D">
        <w:rPr>
          <w:rFonts w:ascii="Times New Roman" w:hAnsi="Times New Roman" w:cs="Times New Roman"/>
          <w:b/>
          <w:sz w:val="18"/>
          <w:szCs w:val="24"/>
        </w:rPr>
        <w:t>Abstrak</w:t>
      </w:r>
      <w:proofErr w:type="spellEnd"/>
      <w:r w:rsidR="005934B7">
        <w:rPr>
          <w:rFonts w:ascii="Times New Roman" w:hAnsi="Times New Roman" w:cs="Times New Roman"/>
          <w:b/>
          <w:sz w:val="18"/>
          <w:szCs w:val="24"/>
          <w:lang w:val="id-ID"/>
        </w:rPr>
        <w:t xml:space="preserve"> </w:t>
      </w:r>
      <w:proofErr w:type="spellStart"/>
      <w:r w:rsidR="00915F90" w:rsidRPr="0082290D">
        <w:rPr>
          <w:rFonts w:ascii="Times New Roman" w:hAnsi="Times New Roman" w:cs="Times New Roman"/>
          <w:sz w:val="18"/>
          <w:szCs w:val="24"/>
        </w:rPr>
        <w:t>Penelitian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ini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membahas</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kinerja</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keuangan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pada</w:t>
      </w:r>
      <w:proofErr w:type="spellEnd"/>
      <w:r w:rsidR="00915F90" w:rsidRPr="0082290D">
        <w:rPr>
          <w:rFonts w:ascii="Times New Roman" w:hAnsi="Times New Roman" w:cs="Times New Roman"/>
          <w:sz w:val="18"/>
          <w:szCs w:val="24"/>
        </w:rPr>
        <w:t xml:space="preserve"> PT. bank </w:t>
      </w:r>
      <w:proofErr w:type="spellStart"/>
      <w:r w:rsidR="00915F90" w:rsidRPr="0082290D">
        <w:rPr>
          <w:rFonts w:ascii="Times New Roman" w:hAnsi="Times New Roman" w:cs="Times New Roman"/>
          <w:sz w:val="18"/>
          <w:szCs w:val="24"/>
        </w:rPr>
        <w:t>Mandiri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cabang</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Rsu</w:t>
      </w:r>
      <w:proofErr w:type="spellEnd"/>
      <w:r w:rsidR="00915F90" w:rsidRPr="0082290D">
        <w:rPr>
          <w:rFonts w:ascii="Times New Roman" w:hAnsi="Times New Roman" w:cs="Times New Roman"/>
          <w:sz w:val="18"/>
          <w:szCs w:val="24"/>
        </w:rPr>
        <w:t xml:space="preserve"> Palembang </w:t>
      </w:r>
      <w:proofErr w:type="spellStart"/>
      <w:r w:rsidR="00915F90" w:rsidRPr="0082290D">
        <w:rPr>
          <w:rFonts w:ascii="Times New Roman" w:hAnsi="Times New Roman" w:cs="Times New Roman"/>
          <w:sz w:val="18"/>
          <w:szCs w:val="24"/>
        </w:rPr>
        <w:t>periode</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tahun</w:t>
      </w:r>
      <w:proofErr w:type="spellEnd"/>
      <w:r w:rsidR="00915F90" w:rsidRPr="0082290D">
        <w:rPr>
          <w:rFonts w:ascii="Times New Roman" w:hAnsi="Times New Roman" w:cs="Times New Roman"/>
          <w:sz w:val="18"/>
          <w:szCs w:val="24"/>
        </w:rPr>
        <w:t xml:space="preserve"> 2011-2013.</w:t>
      </w:r>
      <w:proofErr w:type="gram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Tujuan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Penelitian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ini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adalah</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untuk</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mengetahui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berapa</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besar</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rasio</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keuangan</w:t>
      </w:r>
      <w:proofErr w:type="spellEnd"/>
      <w:r w:rsidR="00915F90" w:rsidRPr="0082290D">
        <w:rPr>
          <w:rFonts w:ascii="Times New Roman" w:hAnsi="Times New Roman" w:cs="Times New Roman"/>
          <w:sz w:val="18"/>
          <w:szCs w:val="24"/>
        </w:rPr>
        <w:t xml:space="preserve">  PT Bank </w:t>
      </w:r>
      <w:proofErr w:type="spellStart"/>
      <w:r w:rsidR="00915F90" w:rsidRPr="0082290D">
        <w:rPr>
          <w:rFonts w:ascii="Times New Roman" w:hAnsi="Times New Roman" w:cs="Times New Roman"/>
          <w:sz w:val="18"/>
          <w:szCs w:val="24"/>
        </w:rPr>
        <w:t>Mandiri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cabang</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Rsu</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berdasarkan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rasio</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likuiditas</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solvabilitas</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dan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rentabilitas</w:t>
      </w:r>
      <w:proofErr w:type="spellEnd"/>
      <w:r w:rsidR="00915F90" w:rsidRPr="0082290D">
        <w:rPr>
          <w:rFonts w:ascii="Times New Roman" w:hAnsi="Times New Roman" w:cs="Times New Roman"/>
          <w:sz w:val="18"/>
          <w:szCs w:val="24"/>
        </w:rPr>
        <w:t xml:space="preserve"> yang </w:t>
      </w:r>
      <w:proofErr w:type="spellStart"/>
      <w:r w:rsidR="00915F90" w:rsidRPr="0082290D">
        <w:rPr>
          <w:rFonts w:ascii="Times New Roman" w:hAnsi="Times New Roman" w:cs="Times New Roman"/>
          <w:sz w:val="18"/>
          <w:szCs w:val="24"/>
        </w:rPr>
        <w:t>diukur</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dengan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menggunakan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analisis</w:t>
      </w:r>
      <w:proofErr w:type="spellEnd"/>
      <w:r w:rsidR="00915F90" w:rsidRPr="0082290D">
        <w:rPr>
          <w:rFonts w:ascii="Times New Roman" w:hAnsi="Times New Roman" w:cs="Times New Roman"/>
          <w:sz w:val="18"/>
          <w:szCs w:val="24"/>
        </w:rPr>
        <w:t xml:space="preserve"> camels yang </w:t>
      </w:r>
      <w:proofErr w:type="spellStart"/>
      <w:r w:rsidR="00915F90" w:rsidRPr="0082290D">
        <w:rPr>
          <w:rFonts w:ascii="Times New Roman" w:hAnsi="Times New Roman" w:cs="Times New Roman"/>
          <w:sz w:val="18"/>
          <w:szCs w:val="24"/>
        </w:rPr>
        <w:t>ditetapkan</w:t>
      </w:r>
      <w:proofErr w:type="spellEnd"/>
      <w:r w:rsidR="00915F90" w:rsidRPr="0082290D">
        <w:rPr>
          <w:rFonts w:ascii="Times New Roman" w:hAnsi="Times New Roman" w:cs="Times New Roman"/>
          <w:sz w:val="18"/>
          <w:szCs w:val="24"/>
        </w:rPr>
        <w:t xml:space="preserve"> Bank Indonesia. </w:t>
      </w:r>
      <w:proofErr w:type="gramStart"/>
      <w:r w:rsidR="00915F90" w:rsidRPr="0082290D">
        <w:rPr>
          <w:rFonts w:ascii="Times New Roman" w:hAnsi="Times New Roman" w:cs="Times New Roman"/>
          <w:sz w:val="18"/>
          <w:szCs w:val="24"/>
        </w:rPr>
        <w:t xml:space="preserve">Data yang </w:t>
      </w:r>
      <w:proofErr w:type="spellStart"/>
      <w:r w:rsidR="00915F90" w:rsidRPr="0082290D">
        <w:rPr>
          <w:rFonts w:ascii="Times New Roman" w:hAnsi="Times New Roman" w:cs="Times New Roman"/>
          <w:sz w:val="18"/>
          <w:szCs w:val="24"/>
        </w:rPr>
        <w:t>digunakan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dalam</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tugas</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akhir</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ini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adalah</w:t>
      </w:r>
      <w:proofErr w:type="spellEnd"/>
      <w:r w:rsidR="00915F90" w:rsidRPr="0082290D">
        <w:rPr>
          <w:rFonts w:ascii="Times New Roman" w:hAnsi="Times New Roman" w:cs="Times New Roman"/>
          <w:sz w:val="18"/>
          <w:szCs w:val="24"/>
        </w:rPr>
        <w:t xml:space="preserve"> data </w:t>
      </w:r>
      <w:proofErr w:type="spellStart"/>
      <w:r w:rsidR="00915F90" w:rsidRPr="0082290D">
        <w:rPr>
          <w:rFonts w:ascii="Times New Roman" w:hAnsi="Times New Roman" w:cs="Times New Roman"/>
          <w:sz w:val="18"/>
          <w:szCs w:val="24"/>
        </w:rPr>
        <w:t>sekunder</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yaitu</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laporan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laba</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rugi</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dan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neraca</w:t>
      </w:r>
      <w:proofErr w:type="spellEnd"/>
      <w:r w:rsidR="00915F90" w:rsidRPr="0082290D">
        <w:rPr>
          <w:rFonts w:ascii="Times New Roman" w:hAnsi="Times New Roman" w:cs="Times New Roman"/>
          <w:sz w:val="18"/>
          <w:szCs w:val="24"/>
        </w:rPr>
        <w:t xml:space="preserve"> Bank </w:t>
      </w:r>
      <w:proofErr w:type="spellStart"/>
      <w:r w:rsidR="00915F90" w:rsidRPr="0082290D">
        <w:rPr>
          <w:rFonts w:ascii="Times New Roman" w:hAnsi="Times New Roman" w:cs="Times New Roman"/>
          <w:sz w:val="18"/>
          <w:szCs w:val="24"/>
        </w:rPr>
        <w:t>Mandiri</w:t>
      </w:r>
      <w:proofErr w:type="spellEnd"/>
      <w:r w:rsidR="00915F90" w:rsidRPr="0082290D">
        <w:rPr>
          <w:rFonts w:ascii="Times New Roman" w:hAnsi="Times New Roman" w:cs="Times New Roman"/>
          <w:sz w:val="18"/>
          <w:szCs w:val="24"/>
        </w:rPr>
        <w:t>.</w:t>
      </w:r>
      <w:proofErr w:type="gramEnd"/>
      <w:r w:rsidR="00915F90" w:rsidRPr="0082290D">
        <w:rPr>
          <w:rFonts w:ascii="Times New Roman" w:hAnsi="Times New Roman" w:cs="Times New Roman"/>
          <w:sz w:val="18"/>
          <w:szCs w:val="24"/>
        </w:rPr>
        <w:t xml:space="preserve"> </w:t>
      </w:r>
      <w:proofErr w:type="spellStart"/>
      <w:proofErr w:type="gramStart"/>
      <w:r w:rsidR="00915F90" w:rsidRPr="0082290D">
        <w:rPr>
          <w:rFonts w:ascii="Times New Roman" w:hAnsi="Times New Roman" w:cs="Times New Roman"/>
          <w:sz w:val="18"/>
          <w:szCs w:val="24"/>
        </w:rPr>
        <w:t>Analisis</w:t>
      </w:r>
      <w:proofErr w:type="spellEnd"/>
      <w:r w:rsidR="00915F90" w:rsidRPr="0082290D">
        <w:rPr>
          <w:rFonts w:ascii="Times New Roman" w:hAnsi="Times New Roman" w:cs="Times New Roman"/>
          <w:sz w:val="18"/>
          <w:szCs w:val="24"/>
        </w:rPr>
        <w:t xml:space="preserve"> yang </w:t>
      </w:r>
      <w:proofErr w:type="spellStart"/>
      <w:r w:rsidR="00915F90" w:rsidRPr="0082290D">
        <w:rPr>
          <w:rFonts w:ascii="Times New Roman" w:hAnsi="Times New Roman" w:cs="Times New Roman"/>
          <w:sz w:val="18"/>
          <w:szCs w:val="24"/>
        </w:rPr>
        <w:t>digunakan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adalah</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analisis</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deskriptif</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kuantitatif</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yaitu</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analisis</w:t>
      </w:r>
      <w:proofErr w:type="spellEnd"/>
      <w:r w:rsidR="00915F90" w:rsidRPr="0082290D">
        <w:rPr>
          <w:rFonts w:ascii="Times New Roman" w:hAnsi="Times New Roman" w:cs="Times New Roman"/>
          <w:sz w:val="18"/>
          <w:szCs w:val="24"/>
        </w:rPr>
        <w:t xml:space="preserve"> Camels.</w:t>
      </w:r>
      <w:proofErr w:type="gram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Hasil</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penelitian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menunjukkan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bahwa</w:t>
      </w:r>
      <w:proofErr w:type="spellEnd"/>
      <w:r w:rsidR="00915F90" w:rsidRPr="0082290D">
        <w:rPr>
          <w:rFonts w:ascii="Times New Roman" w:hAnsi="Times New Roman" w:cs="Times New Roman"/>
          <w:sz w:val="18"/>
          <w:szCs w:val="24"/>
        </w:rPr>
        <w:t xml:space="preserve"> rata-rata </w:t>
      </w:r>
      <w:proofErr w:type="spellStart"/>
      <w:r w:rsidR="00915F90" w:rsidRPr="0082290D">
        <w:rPr>
          <w:rFonts w:ascii="Times New Roman" w:hAnsi="Times New Roman" w:cs="Times New Roman"/>
          <w:sz w:val="18"/>
          <w:szCs w:val="24"/>
        </w:rPr>
        <w:t>rasio</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likuiditas</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periode</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tahun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tersebut</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sebesar</w:t>
      </w:r>
      <w:proofErr w:type="spellEnd"/>
      <w:r w:rsidR="00915F90" w:rsidRPr="0082290D">
        <w:rPr>
          <w:rFonts w:ascii="Times New Roman" w:hAnsi="Times New Roman" w:cs="Times New Roman"/>
          <w:sz w:val="18"/>
          <w:szCs w:val="24"/>
        </w:rPr>
        <w:t xml:space="preserve"> 390,57%, </w:t>
      </w:r>
      <w:proofErr w:type="spellStart"/>
      <w:r w:rsidR="00915F90" w:rsidRPr="0082290D">
        <w:rPr>
          <w:rFonts w:ascii="Times New Roman" w:hAnsi="Times New Roman" w:cs="Times New Roman"/>
          <w:sz w:val="18"/>
          <w:szCs w:val="24"/>
        </w:rPr>
        <w:t>rasio</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solvabilitas</w:t>
      </w:r>
      <w:proofErr w:type="spellEnd"/>
      <w:r w:rsidR="00915F90" w:rsidRPr="0082290D">
        <w:rPr>
          <w:rFonts w:ascii="Times New Roman" w:hAnsi="Times New Roman" w:cs="Times New Roman"/>
          <w:sz w:val="18"/>
          <w:szCs w:val="24"/>
        </w:rPr>
        <w:t xml:space="preserve"> (DAR) </w:t>
      </w:r>
      <w:proofErr w:type="spellStart"/>
      <w:r w:rsidR="00915F90" w:rsidRPr="0082290D">
        <w:rPr>
          <w:rFonts w:ascii="Times New Roman" w:hAnsi="Times New Roman" w:cs="Times New Roman"/>
          <w:sz w:val="18"/>
          <w:szCs w:val="24"/>
        </w:rPr>
        <w:t>sebesar</w:t>
      </w:r>
      <w:proofErr w:type="spellEnd"/>
      <w:r w:rsidR="00915F90" w:rsidRPr="0082290D">
        <w:rPr>
          <w:rFonts w:ascii="Times New Roman" w:hAnsi="Times New Roman" w:cs="Times New Roman"/>
          <w:sz w:val="18"/>
          <w:szCs w:val="24"/>
        </w:rPr>
        <w:t xml:space="preserve"> 21,39%, (DER) </w:t>
      </w:r>
      <w:proofErr w:type="spellStart"/>
      <w:r w:rsidR="00915F90" w:rsidRPr="0082290D">
        <w:rPr>
          <w:rFonts w:ascii="Times New Roman" w:hAnsi="Times New Roman" w:cs="Times New Roman"/>
          <w:sz w:val="18"/>
          <w:szCs w:val="24"/>
        </w:rPr>
        <w:t>sebesar</w:t>
      </w:r>
      <w:proofErr w:type="spellEnd"/>
      <w:r w:rsidR="00915F90" w:rsidRPr="0082290D">
        <w:rPr>
          <w:rFonts w:ascii="Times New Roman" w:hAnsi="Times New Roman" w:cs="Times New Roman"/>
          <w:sz w:val="18"/>
          <w:szCs w:val="24"/>
        </w:rPr>
        <w:t xml:space="preserve"> 28,47%, </w:t>
      </w:r>
      <w:proofErr w:type="spellStart"/>
      <w:r w:rsidR="00915F90" w:rsidRPr="0082290D">
        <w:rPr>
          <w:rFonts w:ascii="Times New Roman" w:hAnsi="Times New Roman" w:cs="Times New Roman"/>
          <w:sz w:val="18"/>
          <w:szCs w:val="24"/>
        </w:rPr>
        <w:t>sedangkan</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rasio</w:t>
      </w:r>
      <w:proofErr w:type="spellEnd"/>
      <w:r w:rsidR="00915F90" w:rsidRPr="0082290D">
        <w:rPr>
          <w:rFonts w:ascii="Times New Roman" w:hAnsi="Times New Roman" w:cs="Times New Roman"/>
          <w:sz w:val="18"/>
          <w:szCs w:val="24"/>
        </w:rPr>
        <w:t xml:space="preserve"> </w:t>
      </w:r>
      <w:proofErr w:type="spellStart"/>
      <w:r w:rsidR="00915F90" w:rsidRPr="0082290D">
        <w:rPr>
          <w:rFonts w:ascii="Times New Roman" w:hAnsi="Times New Roman" w:cs="Times New Roman"/>
          <w:sz w:val="18"/>
          <w:szCs w:val="24"/>
        </w:rPr>
        <w:t>rentabilitas</w:t>
      </w:r>
      <w:proofErr w:type="spellEnd"/>
      <w:r w:rsidR="00915F90" w:rsidRPr="0082290D">
        <w:rPr>
          <w:rFonts w:ascii="Times New Roman" w:hAnsi="Times New Roman" w:cs="Times New Roman"/>
          <w:sz w:val="18"/>
          <w:szCs w:val="24"/>
        </w:rPr>
        <w:t xml:space="preserve"> (ROA) </w:t>
      </w:r>
      <w:proofErr w:type="spellStart"/>
      <w:r w:rsidR="00915F90" w:rsidRPr="0082290D">
        <w:rPr>
          <w:rFonts w:ascii="Times New Roman" w:hAnsi="Times New Roman" w:cs="Times New Roman"/>
          <w:sz w:val="18"/>
          <w:szCs w:val="24"/>
        </w:rPr>
        <w:t>sebesar</w:t>
      </w:r>
      <w:proofErr w:type="spellEnd"/>
      <w:r w:rsidR="00915F90" w:rsidRPr="0082290D">
        <w:rPr>
          <w:rFonts w:ascii="Times New Roman" w:hAnsi="Times New Roman" w:cs="Times New Roman"/>
          <w:sz w:val="18"/>
          <w:szCs w:val="24"/>
        </w:rPr>
        <w:t xml:space="preserve"> 21,46%, (ROE) </w:t>
      </w:r>
      <w:proofErr w:type="spellStart"/>
      <w:r w:rsidR="00915F90" w:rsidRPr="0082290D">
        <w:rPr>
          <w:rFonts w:ascii="Times New Roman" w:hAnsi="Times New Roman" w:cs="Times New Roman"/>
          <w:sz w:val="18"/>
          <w:szCs w:val="24"/>
        </w:rPr>
        <w:t>sebesar</w:t>
      </w:r>
      <w:proofErr w:type="spellEnd"/>
      <w:r w:rsidR="00915F90" w:rsidRPr="0082290D">
        <w:rPr>
          <w:rFonts w:ascii="Times New Roman" w:hAnsi="Times New Roman" w:cs="Times New Roman"/>
          <w:sz w:val="18"/>
          <w:szCs w:val="24"/>
        </w:rPr>
        <w:t xml:space="preserve"> 23,23% </w:t>
      </w:r>
      <w:proofErr w:type="spellStart"/>
      <w:r w:rsidR="00915F90" w:rsidRPr="0082290D">
        <w:rPr>
          <w:rFonts w:ascii="Times New Roman" w:hAnsi="Times New Roman" w:cs="Times New Roman"/>
          <w:sz w:val="18"/>
          <w:szCs w:val="24"/>
        </w:rPr>
        <w:t>dan</w:t>
      </w:r>
      <w:proofErr w:type="spellEnd"/>
      <w:r w:rsidR="00915F90" w:rsidRPr="0082290D">
        <w:rPr>
          <w:rFonts w:ascii="Times New Roman" w:hAnsi="Times New Roman" w:cs="Times New Roman"/>
          <w:sz w:val="18"/>
          <w:szCs w:val="24"/>
        </w:rPr>
        <w:t xml:space="preserve"> BOPO </w:t>
      </w:r>
      <w:proofErr w:type="spellStart"/>
      <w:r w:rsidR="00915F90" w:rsidRPr="0082290D">
        <w:rPr>
          <w:rFonts w:ascii="Times New Roman" w:hAnsi="Times New Roman" w:cs="Times New Roman"/>
          <w:sz w:val="18"/>
          <w:szCs w:val="24"/>
        </w:rPr>
        <w:t>sebesar</w:t>
      </w:r>
      <w:proofErr w:type="spellEnd"/>
      <w:r w:rsidR="00915F90" w:rsidRPr="0082290D">
        <w:rPr>
          <w:rFonts w:ascii="Times New Roman" w:hAnsi="Times New Roman" w:cs="Times New Roman"/>
          <w:sz w:val="18"/>
          <w:szCs w:val="24"/>
        </w:rPr>
        <w:t xml:space="preserve"> 57,61% per </w:t>
      </w:r>
      <w:proofErr w:type="spellStart"/>
      <w:r w:rsidR="00915F90" w:rsidRPr="0082290D">
        <w:rPr>
          <w:rFonts w:ascii="Times New Roman" w:hAnsi="Times New Roman" w:cs="Times New Roman"/>
          <w:sz w:val="18"/>
          <w:szCs w:val="24"/>
        </w:rPr>
        <w:t>tahun</w:t>
      </w:r>
      <w:proofErr w:type="spellEnd"/>
      <w:r w:rsidR="00915F90" w:rsidRPr="0082290D">
        <w:rPr>
          <w:rFonts w:ascii="Times New Roman" w:hAnsi="Times New Roman" w:cs="Times New Roman"/>
          <w:sz w:val="18"/>
          <w:szCs w:val="24"/>
        </w:rPr>
        <w:t>.</w:t>
      </w:r>
    </w:p>
    <w:p w:rsidR="00865F50" w:rsidRDefault="00915F90" w:rsidP="005934B7">
      <w:pPr>
        <w:spacing w:after="0" w:line="240" w:lineRule="auto"/>
        <w:ind w:left="567" w:right="680"/>
        <w:jc w:val="both"/>
        <w:rPr>
          <w:rFonts w:ascii="Times New Roman" w:hAnsi="Times New Roman" w:cs="Times New Roman"/>
          <w:i/>
          <w:sz w:val="18"/>
          <w:szCs w:val="24"/>
          <w:lang w:val="id-ID"/>
        </w:rPr>
      </w:pPr>
      <w:proofErr w:type="spellStart"/>
      <w:r w:rsidRPr="0082290D">
        <w:rPr>
          <w:rFonts w:ascii="Times New Roman" w:hAnsi="Times New Roman" w:cs="Times New Roman"/>
          <w:sz w:val="18"/>
          <w:szCs w:val="24"/>
        </w:rPr>
        <w:t>Kata</w:t>
      </w:r>
      <w:proofErr w:type="spellEnd"/>
      <w:r w:rsidRPr="0082290D">
        <w:rPr>
          <w:rFonts w:ascii="Times New Roman" w:hAnsi="Times New Roman" w:cs="Times New Roman"/>
          <w:sz w:val="18"/>
          <w:szCs w:val="24"/>
        </w:rPr>
        <w:t xml:space="preserve"> </w:t>
      </w:r>
      <w:proofErr w:type="spellStart"/>
      <w:proofErr w:type="gramStart"/>
      <w:r w:rsidRPr="0082290D">
        <w:rPr>
          <w:rFonts w:ascii="Times New Roman" w:hAnsi="Times New Roman" w:cs="Times New Roman"/>
          <w:sz w:val="18"/>
          <w:szCs w:val="24"/>
        </w:rPr>
        <w:t>Kunci</w:t>
      </w:r>
      <w:proofErr w:type="spellEnd"/>
      <w:r w:rsidRPr="0082290D">
        <w:rPr>
          <w:rFonts w:ascii="Times New Roman" w:hAnsi="Times New Roman" w:cs="Times New Roman"/>
          <w:sz w:val="18"/>
          <w:szCs w:val="24"/>
        </w:rPr>
        <w:t xml:space="preserve"> </w:t>
      </w:r>
      <w:r w:rsidRPr="0082290D">
        <w:rPr>
          <w:rFonts w:ascii="Times New Roman" w:hAnsi="Times New Roman" w:cs="Times New Roman"/>
          <w:i/>
          <w:sz w:val="18"/>
          <w:szCs w:val="24"/>
        </w:rPr>
        <w:t>:</w:t>
      </w:r>
      <w:proofErr w:type="gramEnd"/>
      <w:r w:rsidRPr="0082290D">
        <w:rPr>
          <w:rFonts w:ascii="Times New Roman" w:hAnsi="Times New Roman" w:cs="Times New Roman"/>
          <w:i/>
          <w:sz w:val="18"/>
          <w:szCs w:val="24"/>
        </w:rPr>
        <w:t xml:space="preserve"> </w:t>
      </w:r>
      <w:proofErr w:type="spellStart"/>
      <w:r w:rsidRPr="0082290D">
        <w:rPr>
          <w:rFonts w:ascii="Times New Roman" w:hAnsi="Times New Roman" w:cs="Times New Roman"/>
          <w:i/>
          <w:sz w:val="18"/>
          <w:szCs w:val="24"/>
        </w:rPr>
        <w:t>Rasio</w:t>
      </w:r>
      <w:proofErr w:type="spellEnd"/>
      <w:r w:rsidRPr="0082290D">
        <w:rPr>
          <w:rFonts w:ascii="Times New Roman" w:hAnsi="Times New Roman" w:cs="Times New Roman"/>
          <w:i/>
          <w:sz w:val="18"/>
          <w:szCs w:val="24"/>
        </w:rPr>
        <w:t xml:space="preserve"> </w:t>
      </w:r>
      <w:proofErr w:type="spellStart"/>
      <w:r w:rsidRPr="0082290D">
        <w:rPr>
          <w:rFonts w:ascii="Times New Roman" w:hAnsi="Times New Roman" w:cs="Times New Roman"/>
          <w:i/>
          <w:sz w:val="18"/>
          <w:szCs w:val="24"/>
        </w:rPr>
        <w:t>Likuiditas</w:t>
      </w:r>
      <w:proofErr w:type="spellEnd"/>
      <w:r w:rsidRPr="0082290D">
        <w:rPr>
          <w:rFonts w:ascii="Times New Roman" w:hAnsi="Times New Roman" w:cs="Times New Roman"/>
          <w:i/>
          <w:sz w:val="18"/>
          <w:szCs w:val="24"/>
        </w:rPr>
        <w:t xml:space="preserve">, </w:t>
      </w:r>
      <w:proofErr w:type="spellStart"/>
      <w:r w:rsidRPr="0082290D">
        <w:rPr>
          <w:rFonts w:ascii="Times New Roman" w:hAnsi="Times New Roman" w:cs="Times New Roman"/>
          <w:i/>
          <w:sz w:val="18"/>
          <w:szCs w:val="24"/>
        </w:rPr>
        <w:t>Solvabilitas</w:t>
      </w:r>
      <w:proofErr w:type="spellEnd"/>
      <w:r w:rsidRPr="0082290D">
        <w:rPr>
          <w:rFonts w:ascii="Times New Roman" w:hAnsi="Times New Roman" w:cs="Times New Roman"/>
          <w:i/>
          <w:sz w:val="18"/>
          <w:szCs w:val="24"/>
        </w:rPr>
        <w:t xml:space="preserve">, </w:t>
      </w:r>
      <w:proofErr w:type="spellStart"/>
      <w:r w:rsidRPr="0082290D">
        <w:rPr>
          <w:rFonts w:ascii="Times New Roman" w:hAnsi="Times New Roman" w:cs="Times New Roman"/>
          <w:i/>
          <w:sz w:val="18"/>
          <w:szCs w:val="24"/>
        </w:rPr>
        <w:t>Rentabilitas</w:t>
      </w:r>
      <w:proofErr w:type="spellEnd"/>
      <w:r w:rsidRPr="0082290D">
        <w:rPr>
          <w:rFonts w:ascii="Times New Roman" w:hAnsi="Times New Roman" w:cs="Times New Roman"/>
          <w:i/>
          <w:sz w:val="18"/>
          <w:szCs w:val="24"/>
        </w:rPr>
        <w:t xml:space="preserve">, </w:t>
      </w:r>
      <w:proofErr w:type="spellStart"/>
      <w:r w:rsidRPr="0082290D">
        <w:rPr>
          <w:rFonts w:ascii="Times New Roman" w:hAnsi="Times New Roman" w:cs="Times New Roman"/>
          <w:i/>
          <w:sz w:val="18"/>
          <w:szCs w:val="24"/>
        </w:rPr>
        <w:t>dan</w:t>
      </w:r>
      <w:proofErr w:type="spellEnd"/>
      <w:r w:rsidRPr="0082290D">
        <w:rPr>
          <w:rFonts w:ascii="Times New Roman" w:hAnsi="Times New Roman" w:cs="Times New Roman"/>
          <w:i/>
          <w:sz w:val="18"/>
          <w:szCs w:val="24"/>
        </w:rPr>
        <w:t xml:space="preserve"> </w:t>
      </w:r>
      <w:proofErr w:type="spellStart"/>
      <w:r w:rsidRPr="0082290D">
        <w:rPr>
          <w:rFonts w:ascii="Times New Roman" w:hAnsi="Times New Roman" w:cs="Times New Roman"/>
          <w:i/>
          <w:sz w:val="18"/>
          <w:szCs w:val="24"/>
        </w:rPr>
        <w:t>Analisis</w:t>
      </w:r>
      <w:proofErr w:type="spellEnd"/>
      <w:r w:rsidRPr="0082290D">
        <w:rPr>
          <w:rFonts w:ascii="Times New Roman" w:hAnsi="Times New Roman" w:cs="Times New Roman"/>
          <w:i/>
          <w:sz w:val="18"/>
          <w:szCs w:val="24"/>
        </w:rPr>
        <w:t xml:space="preserve"> Camels</w:t>
      </w:r>
    </w:p>
    <w:p w:rsidR="005934B7" w:rsidRPr="005934B7" w:rsidRDefault="005934B7" w:rsidP="005934B7">
      <w:pPr>
        <w:spacing w:after="0" w:line="240" w:lineRule="auto"/>
        <w:ind w:left="567" w:right="680"/>
        <w:jc w:val="both"/>
        <w:rPr>
          <w:rFonts w:ascii="Times New Roman" w:hAnsi="Times New Roman" w:cs="Times New Roman"/>
          <w:sz w:val="18"/>
          <w:szCs w:val="24"/>
          <w:lang w:val="id-ID"/>
        </w:rPr>
      </w:pPr>
    </w:p>
    <w:p w:rsidR="00915F90" w:rsidRPr="001B2B9F" w:rsidRDefault="001B2B9F" w:rsidP="00915F90">
      <w:pPr>
        <w:tabs>
          <w:tab w:val="left" w:pos="2244"/>
        </w:tabs>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1.</w:t>
      </w:r>
      <w:r w:rsidR="00915F90" w:rsidRPr="00915F90">
        <w:rPr>
          <w:rFonts w:ascii="Times New Roman" w:eastAsia="Calibri" w:hAnsi="Times New Roman" w:cs="Times New Roman"/>
          <w:b/>
          <w:sz w:val="24"/>
          <w:szCs w:val="24"/>
          <w:lang w:val="id-ID"/>
        </w:rPr>
        <w:t>PENDAHULUAN</w:t>
      </w:r>
      <w:proofErr w:type="gramEnd"/>
    </w:p>
    <w:p w:rsidR="00CE7C1F" w:rsidRPr="0082290D" w:rsidRDefault="00915F90" w:rsidP="00CE7C1F">
      <w:pPr>
        <w:spacing w:line="240" w:lineRule="auto"/>
        <w:jc w:val="both"/>
        <w:rPr>
          <w:rFonts w:ascii="Times New Roman" w:eastAsia="Calibri" w:hAnsi="Times New Roman" w:cs="Times New Roman"/>
          <w:sz w:val="20"/>
          <w:szCs w:val="24"/>
        </w:rPr>
      </w:pPr>
      <w:r w:rsidRPr="0082290D">
        <w:rPr>
          <w:rFonts w:ascii="Times New Roman" w:eastAsia="Calibri" w:hAnsi="Times New Roman" w:cs="Times New Roman"/>
          <w:sz w:val="20"/>
          <w:szCs w:val="24"/>
          <w:lang w:val="id-ID"/>
        </w:rPr>
        <w:t>Dunia perbankan di Indonesia memasuki masa persaingan yang sangat kompetitif, hal ini disebabkan banyaknya bank yang beroperasi di Indonesia baik yang beroperasi secara lokal maupun yang beroperasi berskala internasional.</w:t>
      </w:r>
      <w:r w:rsidR="00CE7C1F" w:rsidRPr="0082290D">
        <w:rPr>
          <w:rFonts w:ascii="Times New Roman" w:eastAsia="Calibri" w:hAnsi="Times New Roman" w:cs="Times New Roman"/>
          <w:sz w:val="20"/>
          <w:szCs w:val="24"/>
        </w:rPr>
        <w:t xml:space="preserve"> </w:t>
      </w:r>
      <w:proofErr w:type="spellStart"/>
      <w:proofErr w:type="gramStart"/>
      <w:r w:rsidRPr="0082290D">
        <w:rPr>
          <w:rFonts w:ascii="Times New Roman" w:eastAsia="Calibri" w:hAnsi="Times New Roman" w:cs="Times New Roman"/>
          <w:sz w:val="20"/>
          <w:szCs w:val="24"/>
        </w:rPr>
        <w:t>Ukuran</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Kinerja</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suatu</w:t>
      </w:r>
      <w:proofErr w:type="spellEnd"/>
      <w:r w:rsidRPr="0082290D">
        <w:rPr>
          <w:rFonts w:ascii="Times New Roman" w:eastAsia="Calibri" w:hAnsi="Times New Roman" w:cs="Times New Roman"/>
          <w:sz w:val="20"/>
          <w:szCs w:val="24"/>
        </w:rPr>
        <w:t xml:space="preserve"> bank </w:t>
      </w:r>
      <w:proofErr w:type="spellStart"/>
      <w:r w:rsidRPr="0082290D">
        <w:rPr>
          <w:rFonts w:ascii="Times New Roman" w:eastAsia="Calibri" w:hAnsi="Times New Roman" w:cs="Times New Roman"/>
          <w:sz w:val="20"/>
          <w:szCs w:val="24"/>
        </w:rPr>
        <w:t>di</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atur</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dalam</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peraturan</w:t>
      </w:r>
      <w:proofErr w:type="spellEnd"/>
      <w:r w:rsidRPr="0082290D">
        <w:rPr>
          <w:rFonts w:ascii="Times New Roman" w:eastAsia="Calibri" w:hAnsi="Times New Roman" w:cs="Times New Roman"/>
          <w:sz w:val="20"/>
          <w:szCs w:val="24"/>
        </w:rPr>
        <w:t xml:space="preserve"> BI (Bank Indonesia) </w:t>
      </w:r>
      <w:proofErr w:type="spellStart"/>
      <w:r w:rsidRPr="0082290D">
        <w:rPr>
          <w:rFonts w:ascii="Times New Roman" w:eastAsia="Calibri" w:hAnsi="Times New Roman" w:cs="Times New Roman"/>
          <w:sz w:val="20"/>
          <w:szCs w:val="24"/>
        </w:rPr>
        <w:t>nomor</w:t>
      </w:r>
      <w:proofErr w:type="spellEnd"/>
      <w:r w:rsidRPr="0082290D">
        <w:rPr>
          <w:rFonts w:ascii="Times New Roman" w:eastAsia="Calibri" w:hAnsi="Times New Roman" w:cs="Times New Roman"/>
          <w:sz w:val="20"/>
          <w:szCs w:val="24"/>
        </w:rPr>
        <w:t xml:space="preserve"> 6/10/PBI/2004 </w:t>
      </w:r>
      <w:proofErr w:type="spellStart"/>
      <w:r w:rsidRPr="0082290D">
        <w:rPr>
          <w:rFonts w:ascii="Times New Roman" w:eastAsia="Calibri" w:hAnsi="Times New Roman" w:cs="Times New Roman"/>
          <w:sz w:val="20"/>
          <w:szCs w:val="24"/>
        </w:rPr>
        <w:t>yaitu</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perihal</w:t>
      </w:r>
      <w:proofErr w:type="spellEnd"/>
      <w:r w:rsidRPr="0082290D">
        <w:rPr>
          <w:rFonts w:ascii="Times New Roman" w:eastAsia="Calibri" w:hAnsi="Times New Roman" w:cs="Times New Roman"/>
          <w:sz w:val="20"/>
          <w:szCs w:val="24"/>
        </w:rPr>
        <w:t xml:space="preserve"> system </w:t>
      </w:r>
      <w:proofErr w:type="spellStart"/>
      <w:r w:rsidRPr="0082290D">
        <w:rPr>
          <w:rFonts w:ascii="Times New Roman" w:eastAsia="Calibri" w:hAnsi="Times New Roman" w:cs="Times New Roman"/>
          <w:sz w:val="20"/>
          <w:szCs w:val="24"/>
        </w:rPr>
        <w:t>penilaian</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tingkat</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kesehatan</w:t>
      </w:r>
      <w:proofErr w:type="spellEnd"/>
      <w:r w:rsidRPr="0082290D">
        <w:rPr>
          <w:rFonts w:ascii="Times New Roman" w:eastAsia="Calibri" w:hAnsi="Times New Roman" w:cs="Times New Roman"/>
          <w:sz w:val="20"/>
          <w:szCs w:val="24"/>
        </w:rPr>
        <w:t xml:space="preserve"> bank </w:t>
      </w:r>
      <w:proofErr w:type="spellStart"/>
      <w:r w:rsidRPr="0082290D">
        <w:rPr>
          <w:rFonts w:ascii="Times New Roman" w:eastAsia="Calibri" w:hAnsi="Times New Roman" w:cs="Times New Roman"/>
          <w:sz w:val="20"/>
          <w:szCs w:val="24"/>
        </w:rPr>
        <w:t>umum</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salah</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satunya</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menggunakan</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Analisis</w:t>
      </w:r>
      <w:proofErr w:type="spellEnd"/>
      <w:r w:rsidRPr="0082290D">
        <w:rPr>
          <w:rFonts w:ascii="Times New Roman" w:eastAsia="Calibri" w:hAnsi="Times New Roman" w:cs="Times New Roman"/>
          <w:sz w:val="20"/>
          <w:szCs w:val="24"/>
        </w:rPr>
        <w:t xml:space="preserve"> Camels.</w:t>
      </w:r>
      <w:proofErr w:type="gramEnd"/>
      <w:r w:rsidRPr="0082290D">
        <w:rPr>
          <w:rFonts w:ascii="Times New Roman" w:eastAsia="Calibri" w:hAnsi="Times New Roman" w:cs="Times New Roman"/>
          <w:sz w:val="20"/>
          <w:szCs w:val="24"/>
        </w:rPr>
        <w:t xml:space="preserve"> Camels </w:t>
      </w:r>
      <w:proofErr w:type="spellStart"/>
      <w:r w:rsidRPr="0082290D">
        <w:rPr>
          <w:rFonts w:ascii="Times New Roman" w:eastAsia="Calibri" w:hAnsi="Times New Roman" w:cs="Times New Roman"/>
          <w:sz w:val="20"/>
          <w:szCs w:val="24"/>
        </w:rPr>
        <w:t>sendiri</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yaitu</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kepanjangan</w:t>
      </w:r>
      <w:proofErr w:type="spellEnd"/>
      <w:r w:rsidRPr="0082290D">
        <w:rPr>
          <w:rFonts w:ascii="Times New Roman" w:eastAsia="Calibri" w:hAnsi="Times New Roman" w:cs="Times New Roman"/>
          <w:sz w:val="20"/>
          <w:szCs w:val="24"/>
        </w:rPr>
        <w:t xml:space="preserve"> </w:t>
      </w:r>
      <w:proofErr w:type="spellStart"/>
      <w:r w:rsidRPr="0082290D">
        <w:rPr>
          <w:rFonts w:ascii="Times New Roman" w:eastAsia="Calibri" w:hAnsi="Times New Roman" w:cs="Times New Roman"/>
          <w:sz w:val="20"/>
          <w:szCs w:val="24"/>
        </w:rPr>
        <w:t>dari</w:t>
      </w:r>
      <w:proofErr w:type="spellEnd"/>
      <w:r w:rsidRPr="0082290D">
        <w:rPr>
          <w:rFonts w:ascii="Times New Roman" w:eastAsia="Calibri" w:hAnsi="Times New Roman" w:cs="Times New Roman"/>
          <w:sz w:val="20"/>
          <w:szCs w:val="24"/>
        </w:rPr>
        <w:t xml:space="preserve"> Capital (C), Asset Quality (A), Management (M), Earning (E), Liability </w:t>
      </w:r>
      <w:proofErr w:type="spellStart"/>
      <w:r w:rsidRPr="0082290D">
        <w:rPr>
          <w:rFonts w:ascii="Times New Roman" w:eastAsia="Calibri" w:hAnsi="Times New Roman" w:cs="Times New Roman"/>
          <w:sz w:val="20"/>
          <w:szCs w:val="24"/>
        </w:rPr>
        <w:t>atau</w:t>
      </w:r>
      <w:proofErr w:type="spellEnd"/>
      <w:r w:rsidRPr="0082290D">
        <w:rPr>
          <w:rFonts w:ascii="Times New Roman" w:eastAsia="Calibri" w:hAnsi="Times New Roman" w:cs="Times New Roman"/>
          <w:sz w:val="20"/>
          <w:szCs w:val="24"/>
        </w:rPr>
        <w:t xml:space="preserve"> Liquidity (L), </w:t>
      </w:r>
      <w:proofErr w:type="spellStart"/>
      <w:r w:rsidRPr="0082290D">
        <w:rPr>
          <w:rFonts w:ascii="Times New Roman" w:eastAsia="Calibri" w:hAnsi="Times New Roman" w:cs="Times New Roman"/>
          <w:sz w:val="20"/>
          <w:szCs w:val="24"/>
        </w:rPr>
        <w:t>dan</w:t>
      </w:r>
      <w:proofErr w:type="spellEnd"/>
      <w:r w:rsidRPr="0082290D">
        <w:rPr>
          <w:rFonts w:ascii="Times New Roman" w:eastAsia="Calibri" w:hAnsi="Times New Roman" w:cs="Times New Roman"/>
          <w:sz w:val="20"/>
          <w:szCs w:val="24"/>
        </w:rPr>
        <w:t xml:space="preserve"> Sensitivity to Market Risk (S).</w:t>
      </w:r>
    </w:p>
    <w:p w:rsidR="00B422A1" w:rsidRDefault="00915F90" w:rsidP="00CE7C1F">
      <w:pPr>
        <w:spacing w:line="240" w:lineRule="auto"/>
        <w:jc w:val="both"/>
        <w:rPr>
          <w:rFonts w:ascii="Times New Roman" w:hAnsi="Times New Roman" w:cs="Times New Roman"/>
          <w:sz w:val="24"/>
          <w:szCs w:val="24"/>
        </w:rPr>
      </w:pPr>
      <w:r w:rsidRPr="0082290D">
        <w:rPr>
          <w:rFonts w:ascii="Times New Roman" w:eastAsia="Calibri" w:hAnsi="Times New Roman" w:cs="Times New Roman"/>
          <w:sz w:val="20"/>
          <w:szCs w:val="24"/>
          <w:lang w:val="id-ID"/>
        </w:rPr>
        <w:t>penelitian ini dibatasi analisis kinerja keuangan dengan pendekatan likuiditas, solvabilitas, dan rentabilitas pada PT. Bank Mandiri Cabang</w:t>
      </w:r>
      <w:r w:rsidRPr="0082290D">
        <w:rPr>
          <w:rFonts w:ascii="Times New Roman" w:eastAsia="Calibri" w:hAnsi="Times New Roman" w:cs="Times New Roman"/>
          <w:sz w:val="20"/>
          <w:szCs w:val="24"/>
        </w:rPr>
        <w:t xml:space="preserve"> RSU</w:t>
      </w:r>
      <w:r w:rsidRPr="0082290D">
        <w:rPr>
          <w:rFonts w:ascii="Times New Roman" w:eastAsia="Calibri" w:hAnsi="Times New Roman" w:cs="Times New Roman"/>
          <w:sz w:val="20"/>
          <w:szCs w:val="24"/>
          <w:lang w:val="id-ID"/>
        </w:rPr>
        <w:t xml:space="preserve"> Palembang. Berkaitan dengan hal tersebut, adapun yang menjadi fokus dalam penelitian ini adalah : Laporan Keuangan tahunan PT. Bank Mandiri Cabang</w:t>
      </w:r>
      <w:r w:rsidRPr="0082290D">
        <w:rPr>
          <w:rFonts w:ascii="Times New Roman" w:eastAsia="Calibri" w:hAnsi="Times New Roman" w:cs="Times New Roman"/>
          <w:sz w:val="20"/>
          <w:szCs w:val="24"/>
        </w:rPr>
        <w:t xml:space="preserve"> RSU</w:t>
      </w:r>
      <w:r w:rsidRPr="0082290D">
        <w:rPr>
          <w:rFonts w:ascii="Times New Roman" w:eastAsia="Calibri" w:hAnsi="Times New Roman" w:cs="Times New Roman"/>
          <w:sz w:val="20"/>
          <w:szCs w:val="24"/>
          <w:lang w:val="id-ID"/>
        </w:rPr>
        <w:t xml:space="preserve"> Palembang </w:t>
      </w:r>
      <w:proofErr w:type="spellStart"/>
      <w:r w:rsidRPr="0082290D">
        <w:rPr>
          <w:rFonts w:ascii="Times New Roman" w:eastAsia="Calibri" w:hAnsi="Times New Roman" w:cs="Times New Roman"/>
          <w:sz w:val="20"/>
          <w:szCs w:val="24"/>
        </w:rPr>
        <w:t>Periode</w:t>
      </w:r>
      <w:proofErr w:type="spellEnd"/>
      <w:r w:rsidRPr="0082290D">
        <w:rPr>
          <w:rFonts w:ascii="Times New Roman" w:eastAsia="Calibri" w:hAnsi="Times New Roman" w:cs="Times New Roman"/>
          <w:sz w:val="20"/>
          <w:szCs w:val="24"/>
        </w:rPr>
        <w:t xml:space="preserve"> </w:t>
      </w:r>
      <w:r w:rsidRPr="0082290D">
        <w:rPr>
          <w:rFonts w:ascii="Times New Roman" w:eastAsia="Calibri" w:hAnsi="Times New Roman" w:cs="Times New Roman"/>
          <w:sz w:val="20"/>
          <w:szCs w:val="24"/>
          <w:lang w:val="id-ID"/>
        </w:rPr>
        <w:t>Tahun 2</w:t>
      </w:r>
      <w:r w:rsidRPr="0082290D">
        <w:rPr>
          <w:rFonts w:ascii="Times New Roman" w:eastAsia="Calibri" w:hAnsi="Times New Roman" w:cs="Times New Roman"/>
          <w:sz w:val="20"/>
          <w:szCs w:val="24"/>
        </w:rPr>
        <w:t>011-2013</w:t>
      </w:r>
      <w:r w:rsidRPr="0082290D">
        <w:rPr>
          <w:rFonts w:ascii="Times New Roman" w:eastAsia="Calibri" w:hAnsi="Times New Roman" w:cs="Times New Roman"/>
          <w:sz w:val="20"/>
          <w:szCs w:val="24"/>
          <w:lang w:val="id-ID"/>
        </w:rPr>
        <w:t xml:space="preserve">, yang terdiri dari : Neraca, Laporan Laba  Rugi dan Perhitungan Kewajiban Penyediaan Modal Minimum (KPMM)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menggunakan</w:t>
      </w:r>
      <w:proofErr w:type="spellEnd"/>
      <w:r w:rsidRPr="0082290D">
        <w:rPr>
          <w:rFonts w:ascii="Times New Roman" w:hAnsi="Times New Roman" w:cs="Times New Roman"/>
          <w:sz w:val="20"/>
          <w:szCs w:val="24"/>
        </w:rPr>
        <w:t xml:space="preserve"> </w:t>
      </w:r>
      <w:r w:rsidRPr="0082290D">
        <w:rPr>
          <w:rFonts w:ascii="Times New Roman" w:eastAsia="Calibri" w:hAnsi="Times New Roman" w:cs="Times New Roman"/>
          <w:sz w:val="20"/>
          <w:szCs w:val="24"/>
          <w:lang w:val="id-ID"/>
        </w:rPr>
        <w:t>Analisis rasio keuangan bank yang sesuai dengan teori dan peraturan perbankan Indonesia yang relevan, yang terdiri dari Rasio Likuiditas (</w:t>
      </w:r>
      <w:r w:rsidRPr="0082290D">
        <w:rPr>
          <w:rFonts w:ascii="Times New Roman" w:eastAsia="Calibri" w:hAnsi="Times New Roman" w:cs="Times New Roman"/>
          <w:i/>
          <w:iCs/>
          <w:sz w:val="20"/>
          <w:szCs w:val="24"/>
        </w:rPr>
        <w:t>Current Ratio)</w:t>
      </w:r>
      <w:r w:rsidRPr="0082290D">
        <w:rPr>
          <w:rFonts w:ascii="Times New Roman" w:hAnsi="Times New Roman" w:cs="Times New Roman"/>
          <w:sz w:val="20"/>
          <w:szCs w:val="24"/>
        </w:rPr>
        <w:t xml:space="preserve">, </w:t>
      </w:r>
      <w:r w:rsidRPr="0082290D">
        <w:rPr>
          <w:rFonts w:ascii="Times New Roman" w:eastAsia="Calibri" w:hAnsi="Times New Roman" w:cs="Times New Roman"/>
          <w:sz w:val="20"/>
          <w:szCs w:val="24"/>
          <w:lang w:val="id-ID"/>
        </w:rPr>
        <w:t>Rasio Solvabilitas (</w:t>
      </w:r>
      <w:r w:rsidRPr="0082290D">
        <w:rPr>
          <w:rFonts w:ascii="Times New Roman" w:eastAsia="Calibri" w:hAnsi="Times New Roman" w:cs="Times New Roman"/>
          <w:i/>
          <w:iCs/>
          <w:sz w:val="20"/>
          <w:szCs w:val="24"/>
        </w:rPr>
        <w:t>Debt to equity ratio, Debt to asset ratio</w:t>
      </w:r>
      <w:r w:rsidRPr="0082290D">
        <w:rPr>
          <w:rFonts w:ascii="Times New Roman" w:eastAsia="Calibri" w:hAnsi="Times New Roman" w:cs="Times New Roman"/>
          <w:sz w:val="20"/>
          <w:szCs w:val="24"/>
          <w:lang w:val="id-ID"/>
        </w:rPr>
        <w:t>)</w:t>
      </w:r>
      <w:r w:rsidRPr="0082290D">
        <w:rPr>
          <w:rFonts w:ascii="Times New Roman" w:hAnsi="Times New Roman" w:cs="Times New Roman"/>
          <w:sz w:val="20"/>
          <w:szCs w:val="24"/>
        </w:rPr>
        <w:t xml:space="preserve">, </w:t>
      </w:r>
      <w:r w:rsidRPr="0082290D">
        <w:rPr>
          <w:rFonts w:ascii="Times New Roman" w:eastAsia="Calibri" w:hAnsi="Times New Roman" w:cs="Times New Roman"/>
          <w:sz w:val="20"/>
          <w:szCs w:val="24"/>
          <w:lang w:val="id-ID"/>
        </w:rPr>
        <w:t>Rasio Rentabilitas (</w:t>
      </w:r>
      <w:r w:rsidRPr="0082290D">
        <w:rPr>
          <w:rFonts w:ascii="Times New Roman" w:eastAsia="Calibri" w:hAnsi="Times New Roman" w:cs="Times New Roman"/>
          <w:i/>
          <w:iCs/>
          <w:sz w:val="20"/>
          <w:szCs w:val="24"/>
          <w:lang w:val="id-ID"/>
        </w:rPr>
        <w:t>Return On Assets</w:t>
      </w:r>
      <w:r w:rsidRPr="0082290D">
        <w:rPr>
          <w:rFonts w:ascii="Times New Roman" w:eastAsia="Calibri" w:hAnsi="Times New Roman" w:cs="Times New Roman"/>
          <w:sz w:val="20"/>
          <w:szCs w:val="24"/>
          <w:lang w:val="id-ID"/>
        </w:rPr>
        <w:t xml:space="preserve">, </w:t>
      </w:r>
      <w:r w:rsidRPr="0082290D">
        <w:rPr>
          <w:rFonts w:ascii="Times New Roman" w:eastAsia="Calibri" w:hAnsi="Times New Roman" w:cs="Times New Roman"/>
          <w:i/>
          <w:iCs/>
          <w:sz w:val="20"/>
          <w:szCs w:val="24"/>
          <w:lang w:val="id-ID"/>
        </w:rPr>
        <w:t>Return On Equity</w:t>
      </w:r>
      <w:r w:rsidRPr="0082290D">
        <w:rPr>
          <w:rFonts w:ascii="Times New Roman" w:eastAsia="Calibri" w:hAnsi="Times New Roman" w:cs="Times New Roman"/>
          <w:i/>
          <w:iCs/>
          <w:sz w:val="20"/>
          <w:szCs w:val="24"/>
        </w:rPr>
        <w:t>,</w:t>
      </w:r>
      <w:proofErr w:type="spellStart"/>
      <w:r w:rsidRPr="0082290D">
        <w:rPr>
          <w:rFonts w:ascii="Times New Roman" w:eastAsia="Calibri" w:hAnsi="Times New Roman" w:cs="Times New Roman"/>
          <w:i/>
          <w:iCs/>
          <w:sz w:val="20"/>
          <w:szCs w:val="24"/>
        </w:rPr>
        <w:t>Bopo</w:t>
      </w:r>
      <w:proofErr w:type="spellEnd"/>
      <w:r w:rsidRPr="0082290D">
        <w:rPr>
          <w:rFonts w:ascii="Times New Roman" w:eastAsia="Calibri" w:hAnsi="Times New Roman" w:cs="Times New Roman"/>
          <w:sz w:val="20"/>
          <w:szCs w:val="24"/>
        </w:rPr>
        <w:t>)</w:t>
      </w:r>
      <w:r w:rsidRPr="0082290D">
        <w:rPr>
          <w:rFonts w:ascii="Times New Roman" w:hAnsi="Times New Roman" w:cs="Times New Roman"/>
          <w:sz w:val="20"/>
          <w:szCs w:val="24"/>
        </w:rPr>
        <w:t xml:space="preserve">. </w:t>
      </w:r>
      <w:r w:rsidRPr="0082290D">
        <w:rPr>
          <w:rFonts w:ascii="Times New Roman" w:eastAsia="Calibri" w:hAnsi="Times New Roman" w:cs="Times New Roman"/>
          <w:sz w:val="20"/>
          <w:szCs w:val="24"/>
          <w:lang w:val="id-ID"/>
        </w:rPr>
        <w:t>B</w:t>
      </w:r>
      <w:r w:rsidRPr="0082290D">
        <w:rPr>
          <w:rFonts w:ascii="Times New Roman" w:hAnsi="Times New Roman" w:cs="Times New Roman"/>
          <w:sz w:val="20"/>
          <w:szCs w:val="24"/>
          <w:lang w:val="id-ID"/>
        </w:rPr>
        <w:t>erdasarkan</w:t>
      </w:r>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uraian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tersebut</w:t>
      </w:r>
      <w:proofErr w:type="spellEnd"/>
      <w:r w:rsidRPr="0082290D">
        <w:rPr>
          <w:rFonts w:ascii="Times New Roman" w:eastAsia="Calibri" w:hAnsi="Times New Roman" w:cs="Times New Roman"/>
          <w:sz w:val="20"/>
          <w:szCs w:val="24"/>
          <w:lang w:val="id-ID"/>
        </w:rPr>
        <w:t>, maka pe</w:t>
      </w:r>
      <w:r w:rsidRPr="0082290D">
        <w:rPr>
          <w:rFonts w:ascii="Times New Roman" w:hAnsi="Times New Roman" w:cs="Times New Roman"/>
          <w:sz w:val="20"/>
          <w:szCs w:val="24"/>
          <w:lang w:val="id-ID"/>
        </w:rPr>
        <w:t xml:space="preserve">neliti </w:t>
      </w:r>
      <w:proofErr w:type="spellStart"/>
      <w:r w:rsidRPr="0082290D">
        <w:rPr>
          <w:rFonts w:ascii="Times New Roman" w:hAnsi="Times New Roman" w:cs="Times New Roman"/>
          <w:sz w:val="20"/>
          <w:szCs w:val="24"/>
        </w:rPr>
        <w:t>mengambil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judul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Analisi</w:t>
      </w:r>
      <w:r w:rsidR="00B422A1" w:rsidRPr="0082290D">
        <w:rPr>
          <w:rFonts w:ascii="Times New Roman" w:hAnsi="Times New Roman" w:cs="Times New Roman"/>
          <w:sz w:val="20"/>
          <w:szCs w:val="24"/>
        </w:rPr>
        <w:t>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lastRenderedPageBreak/>
        <w:t>Kinerja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Keuangan</w:t>
      </w:r>
      <w:proofErr w:type="spellEnd"/>
      <w:r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Melalui</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Pendekatan</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Likuiditas</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Solvabilitas</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dan</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Rentabilitas</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pada</w:t>
      </w:r>
      <w:proofErr w:type="spellEnd"/>
      <w:r w:rsidR="00B422A1" w:rsidRPr="0082290D">
        <w:rPr>
          <w:rFonts w:ascii="Times New Roman" w:hAnsi="Times New Roman" w:cs="Times New Roman"/>
          <w:sz w:val="20"/>
          <w:szCs w:val="24"/>
        </w:rPr>
        <w:t xml:space="preserve"> PT. </w:t>
      </w:r>
      <w:proofErr w:type="gramStart"/>
      <w:r w:rsidR="00B422A1" w:rsidRPr="0082290D">
        <w:rPr>
          <w:rFonts w:ascii="Times New Roman" w:hAnsi="Times New Roman" w:cs="Times New Roman"/>
          <w:sz w:val="20"/>
          <w:szCs w:val="24"/>
        </w:rPr>
        <w:t xml:space="preserve">Bank </w:t>
      </w:r>
      <w:proofErr w:type="spellStart"/>
      <w:r w:rsidR="00B422A1" w:rsidRPr="0082290D">
        <w:rPr>
          <w:rFonts w:ascii="Times New Roman" w:hAnsi="Times New Roman" w:cs="Times New Roman"/>
          <w:sz w:val="20"/>
          <w:szCs w:val="24"/>
        </w:rPr>
        <w:t>Mandiri</w:t>
      </w:r>
      <w:proofErr w:type="spellEnd"/>
      <w:r w:rsidR="00B422A1" w:rsidRPr="0082290D">
        <w:rPr>
          <w:rFonts w:ascii="Times New Roman" w:hAnsi="Times New Roman" w:cs="Times New Roman"/>
          <w:sz w:val="20"/>
          <w:szCs w:val="24"/>
        </w:rPr>
        <w:t xml:space="preserve"> </w:t>
      </w:r>
      <w:proofErr w:type="spellStart"/>
      <w:r w:rsidR="00B422A1" w:rsidRPr="0082290D">
        <w:rPr>
          <w:rFonts w:ascii="Times New Roman" w:hAnsi="Times New Roman" w:cs="Times New Roman"/>
          <w:sz w:val="20"/>
          <w:szCs w:val="24"/>
        </w:rPr>
        <w:t>Cabang</w:t>
      </w:r>
      <w:proofErr w:type="spellEnd"/>
      <w:r w:rsidR="00B422A1" w:rsidRPr="0082290D">
        <w:rPr>
          <w:rFonts w:ascii="Times New Roman" w:hAnsi="Times New Roman" w:cs="Times New Roman"/>
          <w:sz w:val="20"/>
          <w:szCs w:val="24"/>
        </w:rPr>
        <w:t xml:space="preserve"> RSU Palembang”.</w:t>
      </w:r>
      <w:proofErr w:type="gramEnd"/>
      <w:r w:rsidR="00B422A1" w:rsidRPr="001B2B9F">
        <w:rPr>
          <w:rFonts w:ascii="Times New Roman" w:hAnsi="Times New Roman" w:cs="Times New Roman"/>
          <w:sz w:val="24"/>
          <w:szCs w:val="24"/>
        </w:rPr>
        <w:t xml:space="preserve"> </w:t>
      </w:r>
    </w:p>
    <w:p w:rsidR="00865F50" w:rsidRPr="005934B7" w:rsidRDefault="005934B7" w:rsidP="005934B7">
      <w:pPr>
        <w:spacing w:after="0" w:line="240" w:lineRule="auto"/>
        <w:jc w:val="both"/>
        <w:rPr>
          <w:rFonts w:ascii="Times New Roman" w:hAnsi="Times New Roman" w:cs="Times New Roman"/>
          <w:b/>
          <w:sz w:val="24"/>
          <w:szCs w:val="24"/>
        </w:rPr>
      </w:pPr>
      <w:r>
        <w:rPr>
          <w:rFonts w:ascii="Times New Roman" w:hAnsi="Times New Roman" w:cs="Times New Roman"/>
          <w:b/>
          <w:szCs w:val="24"/>
          <w:lang w:val="id-ID"/>
        </w:rPr>
        <w:t>II. Metode</w:t>
      </w:r>
      <w:r w:rsidR="00865F50" w:rsidRPr="005934B7">
        <w:rPr>
          <w:rFonts w:ascii="Times New Roman" w:hAnsi="Times New Roman" w:cs="Times New Roman"/>
          <w:b/>
          <w:szCs w:val="24"/>
        </w:rPr>
        <w:t xml:space="preserve"> </w:t>
      </w:r>
      <w:proofErr w:type="spellStart"/>
      <w:r w:rsidR="00865F50" w:rsidRPr="005934B7">
        <w:rPr>
          <w:rFonts w:ascii="Times New Roman" w:hAnsi="Times New Roman" w:cs="Times New Roman"/>
          <w:b/>
          <w:szCs w:val="24"/>
        </w:rPr>
        <w:t>Penelitian</w:t>
      </w:r>
      <w:proofErr w:type="spellEnd"/>
    </w:p>
    <w:p w:rsidR="00865F50" w:rsidRPr="005934B7" w:rsidRDefault="005934B7" w:rsidP="005934B7">
      <w:pPr>
        <w:spacing w:after="0" w:line="240" w:lineRule="auto"/>
        <w:jc w:val="both"/>
        <w:rPr>
          <w:rFonts w:ascii="Times New Roman" w:hAnsi="Times New Roman" w:cs="Times New Roman"/>
          <w:b/>
          <w:sz w:val="20"/>
          <w:szCs w:val="24"/>
          <w:lang w:val="id-ID"/>
        </w:rPr>
      </w:pPr>
      <w:r>
        <w:rPr>
          <w:rFonts w:ascii="Times New Roman" w:hAnsi="Times New Roman" w:cs="Times New Roman"/>
          <w:b/>
          <w:sz w:val="20"/>
          <w:szCs w:val="24"/>
          <w:lang w:val="id-ID"/>
        </w:rPr>
        <w:t xml:space="preserve">2.1 Objek </w:t>
      </w:r>
    </w:p>
    <w:p w:rsidR="00865F50" w:rsidRPr="00865F50" w:rsidRDefault="00865F50" w:rsidP="00865F50">
      <w:pPr>
        <w:pStyle w:val="ListParagraph"/>
        <w:spacing w:after="0" w:line="240" w:lineRule="auto"/>
        <w:ind w:left="360"/>
        <w:jc w:val="both"/>
        <w:rPr>
          <w:rFonts w:ascii="Times New Roman" w:hAnsi="Times New Roman" w:cs="Times New Roman"/>
          <w:sz w:val="24"/>
          <w:szCs w:val="24"/>
        </w:rPr>
      </w:pPr>
      <w:proofErr w:type="spellStart"/>
      <w:proofErr w:type="gramStart"/>
      <w:r w:rsidRPr="0082290D">
        <w:rPr>
          <w:rFonts w:ascii="Times New Roman" w:hAnsi="Times New Roman" w:cs="Times New Roman"/>
          <w:sz w:val="20"/>
          <w:szCs w:val="24"/>
        </w:rPr>
        <w:t>Objek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penelitian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ini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adalah</w:t>
      </w:r>
      <w:proofErr w:type="spellEnd"/>
      <w:r w:rsidRPr="0082290D">
        <w:rPr>
          <w:rFonts w:ascii="Times New Roman" w:hAnsi="Times New Roman" w:cs="Times New Roman"/>
          <w:sz w:val="20"/>
          <w:szCs w:val="24"/>
        </w:rPr>
        <w:t xml:space="preserve"> PT. Bank </w:t>
      </w:r>
      <w:proofErr w:type="spellStart"/>
      <w:r w:rsidRPr="0082290D">
        <w:rPr>
          <w:rFonts w:ascii="Times New Roman" w:hAnsi="Times New Roman" w:cs="Times New Roman"/>
          <w:sz w:val="20"/>
          <w:szCs w:val="24"/>
        </w:rPr>
        <w:t>Mandiri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Cabang</w:t>
      </w:r>
      <w:proofErr w:type="spellEnd"/>
      <w:r w:rsidRPr="0082290D">
        <w:rPr>
          <w:rFonts w:ascii="Times New Roman" w:hAnsi="Times New Roman" w:cs="Times New Roman"/>
          <w:sz w:val="20"/>
          <w:szCs w:val="24"/>
        </w:rPr>
        <w:t xml:space="preserve"> RSU Palembang </w:t>
      </w:r>
      <w:proofErr w:type="spellStart"/>
      <w:r w:rsidRPr="0082290D">
        <w:rPr>
          <w:rFonts w:ascii="Times New Roman" w:hAnsi="Times New Roman" w:cs="Times New Roman"/>
          <w:sz w:val="20"/>
          <w:szCs w:val="24"/>
        </w:rPr>
        <w:t>dengan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menggunakan</w:t>
      </w:r>
      <w:proofErr w:type="spellEnd"/>
      <w:r w:rsidRPr="0082290D">
        <w:rPr>
          <w:rFonts w:ascii="Times New Roman" w:hAnsi="Times New Roman" w:cs="Times New Roman"/>
          <w:sz w:val="20"/>
          <w:szCs w:val="24"/>
        </w:rPr>
        <w:t xml:space="preserve"> data </w:t>
      </w:r>
      <w:proofErr w:type="spellStart"/>
      <w:r w:rsidRPr="0082290D">
        <w:rPr>
          <w:rFonts w:ascii="Times New Roman" w:hAnsi="Times New Roman" w:cs="Times New Roman"/>
          <w:sz w:val="20"/>
          <w:szCs w:val="24"/>
        </w:rPr>
        <w:t>laporan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keuangan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rugi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neraca</w:t>
      </w:r>
      <w:proofErr w:type="spellEnd"/>
      <w:r w:rsidRPr="0082290D">
        <w:rPr>
          <w:rFonts w:ascii="Times New Roman" w:hAnsi="Times New Roman" w:cs="Times New Roman"/>
          <w:sz w:val="20"/>
          <w:szCs w:val="24"/>
        </w:rPr>
        <w:t>.</w:t>
      </w:r>
      <w:proofErr w:type="gramEnd"/>
    </w:p>
    <w:p w:rsidR="00E1367B" w:rsidRPr="001B2B9F" w:rsidRDefault="00E1367B" w:rsidP="00865F50">
      <w:pPr>
        <w:pStyle w:val="ListParagraph"/>
        <w:spacing w:line="240" w:lineRule="auto"/>
        <w:ind w:left="360"/>
        <w:jc w:val="both"/>
        <w:rPr>
          <w:rFonts w:ascii="Times New Roman" w:hAnsi="Times New Roman" w:cs="Times New Roman"/>
          <w:b/>
          <w:sz w:val="24"/>
          <w:szCs w:val="24"/>
        </w:rPr>
      </w:pPr>
    </w:p>
    <w:p w:rsidR="001B2B9F" w:rsidRPr="005934B7" w:rsidRDefault="001B2B9F" w:rsidP="005934B7">
      <w:pPr>
        <w:pStyle w:val="ListParagraph"/>
        <w:numPr>
          <w:ilvl w:val="1"/>
          <w:numId w:val="22"/>
        </w:numPr>
        <w:spacing w:line="240" w:lineRule="auto"/>
        <w:ind w:left="426"/>
        <w:jc w:val="both"/>
        <w:rPr>
          <w:rFonts w:ascii="Times New Roman" w:hAnsi="Times New Roman" w:cs="Times New Roman"/>
          <w:b/>
          <w:sz w:val="20"/>
          <w:szCs w:val="24"/>
        </w:rPr>
      </w:pPr>
      <w:proofErr w:type="spellStart"/>
      <w:r w:rsidRPr="005934B7">
        <w:rPr>
          <w:rFonts w:ascii="Times New Roman" w:hAnsi="Times New Roman" w:cs="Times New Roman"/>
          <w:b/>
          <w:sz w:val="20"/>
          <w:szCs w:val="24"/>
        </w:rPr>
        <w:t>Desain</w:t>
      </w:r>
      <w:proofErr w:type="spellEnd"/>
      <w:r w:rsidRPr="005934B7">
        <w:rPr>
          <w:rFonts w:ascii="Times New Roman" w:hAnsi="Times New Roman" w:cs="Times New Roman"/>
          <w:b/>
          <w:sz w:val="20"/>
          <w:szCs w:val="24"/>
        </w:rPr>
        <w:t xml:space="preserve"> </w:t>
      </w:r>
      <w:proofErr w:type="spellStart"/>
      <w:r w:rsidRPr="005934B7">
        <w:rPr>
          <w:rFonts w:ascii="Times New Roman" w:hAnsi="Times New Roman" w:cs="Times New Roman"/>
          <w:b/>
          <w:sz w:val="20"/>
          <w:szCs w:val="24"/>
        </w:rPr>
        <w:t>Penelitian</w:t>
      </w:r>
      <w:proofErr w:type="spellEnd"/>
    </w:p>
    <w:p w:rsidR="001B2B9F" w:rsidRPr="00865F50" w:rsidRDefault="00A0368F" w:rsidP="00865F50">
      <w:pPr>
        <w:spacing w:line="240" w:lineRule="auto"/>
        <w:ind w:firstLine="360"/>
        <w:jc w:val="both"/>
        <w:rPr>
          <w:rFonts w:ascii="Times New Roman" w:hAnsi="Times New Roman" w:cs="Times New Roman"/>
          <w:color w:val="000000"/>
          <w:sz w:val="24"/>
          <w:szCs w:val="24"/>
        </w:rPr>
      </w:pPr>
      <w:proofErr w:type="spellStart"/>
      <w:proofErr w:type="gramStart"/>
      <w:r w:rsidRPr="0082290D">
        <w:rPr>
          <w:rFonts w:ascii="Times New Roman" w:eastAsia="Calibri" w:hAnsi="Times New Roman" w:cs="Times New Roman"/>
          <w:color w:val="000000"/>
          <w:sz w:val="20"/>
          <w:szCs w:val="24"/>
        </w:rPr>
        <w:t>Jenis</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penelitian</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adalah</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deskriptif</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kuantitatif</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dengan</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menggunakan</w:t>
      </w:r>
      <w:proofErr w:type="spellEnd"/>
      <w:r w:rsidRPr="0082290D">
        <w:rPr>
          <w:rFonts w:ascii="Times New Roman" w:eastAsia="Calibri" w:hAnsi="Times New Roman" w:cs="Times New Roman"/>
          <w:color w:val="000000"/>
          <w:sz w:val="20"/>
          <w:szCs w:val="24"/>
        </w:rPr>
        <w:t xml:space="preserve"> data </w:t>
      </w:r>
      <w:proofErr w:type="spellStart"/>
      <w:r w:rsidRPr="0082290D">
        <w:rPr>
          <w:rFonts w:ascii="Times New Roman" w:eastAsia="Calibri" w:hAnsi="Times New Roman" w:cs="Times New Roman"/>
          <w:color w:val="000000"/>
          <w:sz w:val="20"/>
          <w:szCs w:val="24"/>
        </w:rPr>
        <w:t>sekunder</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sebagai</w:t>
      </w:r>
      <w:proofErr w:type="spellEnd"/>
      <w:r w:rsidRPr="0082290D">
        <w:rPr>
          <w:rFonts w:ascii="Times New Roman" w:eastAsia="Calibri" w:hAnsi="Times New Roman" w:cs="Times New Roman"/>
          <w:color w:val="000000"/>
          <w:sz w:val="20"/>
          <w:szCs w:val="24"/>
        </w:rPr>
        <w:t xml:space="preserve"> data </w:t>
      </w:r>
      <w:proofErr w:type="spellStart"/>
      <w:r w:rsidRPr="0082290D">
        <w:rPr>
          <w:rFonts w:ascii="Times New Roman" w:eastAsia="Calibri" w:hAnsi="Times New Roman" w:cs="Times New Roman"/>
          <w:color w:val="000000"/>
          <w:sz w:val="20"/>
          <w:szCs w:val="24"/>
        </w:rPr>
        <w:t>utama</w:t>
      </w:r>
      <w:proofErr w:type="spellEnd"/>
      <w:r w:rsidRPr="0082290D">
        <w:rPr>
          <w:rFonts w:ascii="Times New Roman" w:eastAsia="Calibri" w:hAnsi="Times New Roman" w:cs="Times New Roman"/>
          <w:color w:val="000000"/>
          <w:sz w:val="20"/>
          <w:szCs w:val="24"/>
        </w:rPr>
        <w:t>.</w:t>
      </w:r>
      <w:proofErr w:type="gramEnd"/>
      <w:r w:rsidRPr="0082290D">
        <w:rPr>
          <w:rFonts w:ascii="Times New Roman" w:eastAsia="Calibri" w:hAnsi="Times New Roman" w:cs="Times New Roman"/>
          <w:color w:val="000000"/>
          <w:sz w:val="20"/>
          <w:szCs w:val="24"/>
        </w:rPr>
        <w:t xml:space="preserve"> </w:t>
      </w:r>
      <w:proofErr w:type="spellStart"/>
      <w:proofErr w:type="gramStart"/>
      <w:r w:rsidRPr="0082290D">
        <w:rPr>
          <w:rFonts w:ascii="Times New Roman" w:eastAsia="Calibri" w:hAnsi="Times New Roman" w:cs="Times New Roman"/>
          <w:color w:val="000000"/>
          <w:sz w:val="20"/>
          <w:szCs w:val="24"/>
        </w:rPr>
        <w:t>Penelitian</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deskriptif</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kuantitatif</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menurut</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Sugiyono</w:t>
      </w:r>
      <w:proofErr w:type="spellEnd"/>
      <w:r w:rsidRPr="0082290D">
        <w:rPr>
          <w:rFonts w:ascii="Times New Roman" w:eastAsia="Calibri" w:hAnsi="Times New Roman" w:cs="Times New Roman"/>
          <w:color w:val="000000"/>
          <w:sz w:val="20"/>
          <w:szCs w:val="24"/>
        </w:rPr>
        <w:t xml:space="preserve"> (2005: 14) </w:t>
      </w:r>
      <w:proofErr w:type="spellStart"/>
      <w:r w:rsidRPr="0082290D">
        <w:rPr>
          <w:rFonts w:ascii="Times New Roman" w:eastAsia="Calibri" w:hAnsi="Times New Roman" w:cs="Times New Roman"/>
          <w:color w:val="000000"/>
          <w:sz w:val="20"/>
          <w:szCs w:val="24"/>
        </w:rPr>
        <w:t>adalah</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penelitian</w:t>
      </w:r>
      <w:proofErr w:type="spellEnd"/>
      <w:r w:rsidRPr="0082290D">
        <w:rPr>
          <w:rFonts w:ascii="Times New Roman" w:eastAsia="Calibri" w:hAnsi="Times New Roman" w:cs="Times New Roman"/>
          <w:color w:val="000000"/>
          <w:sz w:val="20"/>
          <w:szCs w:val="24"/>
        </w:rPr>
        <w:t xml:space="preserve"> yang </w:t>
      </w:r>
      <w:proofErr w:type="spellStart"/>
      <w:r w:rsidRPr="0082290D">
        <w:rPr>
          <w:rFonts w:ascii="Times New Roman" w:eastAsia="Calibri" w:hAnsi="Times New Roman" w:cs="Times New Roman"/>
          <w:color w:val="000000"/>
          <w:sz w:val="20"/>
          <w:szCs w:val="24"/>
        </w:rPr>
        <w:t>menyajikan</w:t>
      </w:r>
      <w:proofErr w:type="spellEnd"/>
      <w:r w:rsidRPr="0082290D">
        <w:rPr>
          <w:rFonts w:ascii="Times New Roman" w:eastAsia="Calibri" w:hAnsi="Times New Roman" w:cs="Times New Roman"/>
          <w:color w:val="000000"/>
          <w:sz w:val="20"/>
          <w:szCs w:val="24"/>
        </w:rPr>
        <w:t xml:space="preserve"> data-data yang </w:t>
      </w:r>
      <w:proofErr w:type="spellStart"/>
      <w:r w:rsidRPr="0082290D">
        <w:rPr>
          <w:rFonts w:ascii="Times New Roman" w:eastAsia="Calibri" w:hAnsi="Times New Roman" w:cs="Times New Roman"/>
          <w:color w:val="000000"/>
          <w:sz w:val="20"/>
          <w:szCs w:val="24"/>
        </w:rPr>
        <w:t>berwujud</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angka-angka</w:t>
      </w:r>
      <w:proofErr w:type="spellEnd"/>
      <w:r w:rsidRPr="0082290D">
        <w:rPr>
          <w:rFonts w:ascii="Times New Roman" w:eastAsia="Calibri" w:hAnsi="Times New Roman" w:cs="Times New Roman"/>
          <w:color w:val="000000"/>
          <w:sz w:val="20"/>
          <w:szCs w:val="24"/>
        </w:rPr>
        <w:t xml:space="preserve"> yang </w:t>
      </w:r>
      <w:proofErr w:type="spellStart"/>
      <w:r w:rsidRPr="0082290D">
        <w:rPr>
          <w:rFonts w:ascii="Times New Roman" w:eastAsia="Calibri" w:hAnsi="Times New Roman" w:cs="Times New Roman"/>
          <w:color w:val="000000"/>
          <w:sz w:val="20"/>
          <w:szCs w:val="24"/>
        </w:rPr>
        <w:t>sudah</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diolah</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sesuai</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permalahan</w:t>
      </w:r>
      <w:proofErr w:type="spellEnd"/>
      <w:r w:rsidRPr="0082290D">
        <w:rPr>
          <w:rFonts w:ascii="Times New Roman" w:eastAsia="Calibri" w:hAnsi="Times New Roman" w:cs="Times New Roman"/>
          <w:color w:val="000000"/>
          <w:sz w:val="20"/>
          <w:szCs w:val="24"/>
        </w:rPr>
        <w:t xml:space="preserve"> yang </w:t>
      </w:r>
      <w:proofErr w:type="spellStart"/>
      <w:r w:rsidRPr="0082290D">
        <w:rPr>
          <w:rFonts w:ascii="Times New Roman" w:eastAsia="Calibri" w:hAnsi="Times New Roman" w:cs="Times New Roman"/>
          <w:color w:val="000000"/>
          <w:sz w:val="20"/>
          <w:szCs w:val="24"/>
        </w:rPr>
        <w:t>sedang</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diteliti</w:t>
      </w:r>
      <w:proofErr w:type="spellEnd"/>
      <w:r w:rsidRPr="0082290D">
        <w:rPr>
          <w:rFonts w:ascii="Times New Roman" w:eastAsia="Calibri" w:hAnsi="Times New Roman" w:cs="Times New Roman"/>
          <w:color w:val="000000"/>
          <w:sz w:val="20"/>
          <w:szCs w:val="24"/>
        </w:rPr>
        <w:t>.</w:t>
      </w:r>
      <w:proofErr w:type="gram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Berdasarkan</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angka-angka</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tersebut</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kemudian</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dilakukan</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interpretasi</w:t>
      </w:r>
      <w:proofErr w:type="spellEnd"/>
      <w:r w:rsidRPr="0082290D">
        <w:rPr>
          <w:rFonts w:ascii="Times New Roman" w:eastAsia="Calibri" w:hAnsi="Times New Roman" w:cs="Times New Roman"/>
          <w:color w:val="000000"/>
          <w:sz w:val="20"/>
          <w:szCs w:val="24"/>
        </w:rPr>
        <w:t xml:space="preserve"> yang </w:t>
      </w:r>
      <w:proofErr w:type="spellStart"/>
      <w:proofErr w:type="gramStart"/>
      <w:r w:rsidRPr="0082290D">
        <w:rPr>
          <w:rFonts w:ascii="Times New Roman" w:eastAsia="Calibri" w:hAnsi="Times New Roman" w:cs="Times New Roman"/>
          <w:color w:val="000000"/>
          <w:sz w:val="20"/>
          <w:szCs w:val="24"/>
        </w:rPr>
        <w:t>akan</w:t>
      </w:r>
      <w:proofErr w:type="spellEnd"/>
      <w:proofErr w:type="gram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membuat</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permasalahan</w:t>
      </w:r>
      <w:proofErr w:type="spellEnd"/>
      <w:r w:rsidRPr="0082290D">
        <w:rPr>
          <w:rFonts w:ascii="Times New Roman" w:eastAsia="Calibri" w:hAnsi="Times New Roman" w:cs="Times New Roman"/>
          <w:color w:val="000000"/>
          <w:sz w:val="20"/>
          <w:szCs w:val="24"/>
        </w:rPr>
        <w:t xml:space="preserve"> yang </w:t>
      </w:r>
      <w:proofErr w:type="spellStart"/>
      <w:r w:rsidRPr="0082290D">
        <w:rPr>
          <w:rFonts w:ascii="Times New Roman" w:eastAsia="Calibri" w:hAnsi="Times New Roman" w:cs="Times New Roman"/>
          <w:color w:val="000000"/>
          <w:sz w:val="20"/>
          <w:szCs w:val="24"/>
        </w:rPr>
        <w:t>diteliti</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menjadi</w:t>
      </w:r>
      <w:proofErr w:type="spellEnd"/>
      <w:r w:rsidRPr="0082290D">
        <w:rPr>
          <w:rFonts w:ascii="Times New Roman" w:eastAsia="Calibri" w:hAnsi="Times New Roman" w:cs="Times New Roman"/>
          <w:color w:val="000000"/>
          <w:sz w:val="20"/>
          <w:szCs w:val="24"/>
        </w:rPr>
        <w:t xml:space="preserve"> </w:t>
      </w:r>
      <w:proofErr w:type="spellStart"/>
      <w:r w:rsidRPr="0082290D">
        <w:rPr>
          <w:rFonts w:ascii="Times New Roman" w:eastAsia="Calibri" w:hAnsi="Times New Roman" w:cs="Times New Roman"/>
          <w:color w:val="000000"/>
          <w:sz w:val="20"/>
          <w:szCs w:val="24"/>
        </w:rPr>
        <w:t>jelas</w:t>
      </w:r>
      <w:proofErr w:type="spellEnd"/>
      <w:r w:rsidRPr="0082290D">
        <w:rPr>
          <w:rFonts w:ascii="Times New Roman" w:eastAsia="Calibri" w:hAnsi="Times New Roman" w:cs="Times New Roman"/>
          <w:color w:val="000000"/>
          <w:sz w:val="20"/>
          <w:szCs w:val="24"/>
        </w:rPr>
        <w:t>.</w:t>
      </w:r>
    </w:p>
    <w:p w:rsidR="001B2B9F" w:rsidRPr="005934B7" w:rsidRDefault="001B2B9F" w:rsidP="005934B7">
      <w:pPr>
        <w:pStyle w:val="ListParagraph"/>
        <w:numPr>
          <w:ilvl w:val="1"/>
          <w:numId w:val="22"/>
        </w:numPr>
        <w:spacing w:line="240" w:lineRule="auto"/>
        <w:ind w:left="284" w:hanging="284"/>
        <w:jc w:val="both"/>
        <w:rPr>
          <w:rFonts w:ascii="Times New Roman" w:hAnsi="Times New Roman" w:cs="Times New Roman"/>
          <w:b/>
          <w:sz w:val="20"/>
          <w:szCs w:val="24"/>
        </w:rPr>
      </w:pPr>
      <w:proofErr w:type="spellStart"/>
      <w:r w:rsidRPr="005934B7">
        <w:rPr>
          <w:rFonts w:ascii="Times New Roman" w:hAnsi="Times New Roman" w:cs="Times New Roman"/>
          <w:b/>
          <w:sz w:val="20"/>
          <w:szCs w:val="24"/>
        </w:rPr>
        <w:t>Teknik</w:t>
      </w:r>
      <w:proofErr w:type="spellEnd"/>
      <w:r w:rsidRPr="005934B7">
        <w:rPr>
          <w:rFonts w:ascii="Times New Roman" w:hAnsi="Times New Roman" w:cs="Times New Roman"/>
          <w:b/>
          <w:sz w:val="20"/>
          <w:szCs w:val="24"/>
        </w:rPr>
        <w:t xml:space="preserve"> </w:t>
      </w:r>
      <w:proofErr w:type="spellStart"/>
      <w:r w:rsidRPr="005934B7">
        <w:rPr>
          <w:rFonts w:ascii="Times New Roman" w:hAnsi="Times New Roman" w:cs="Times New Roman"/>
          <w:b/>
          <w:sz w:val="20"/>
          <w:szCs w:val="24"/>
        </w:rPr>
        <w:t>Analisis</w:t>
      </w:r>
      <w:proofErr w:type="spellEnd"/>
      <w:r w:rsidRPr="005934B7">
        <w:rPr>
          <w:rFonts w:ascii="Times New Roman" w:hAnsi="Times New Roman" w:cs="Times New Roman"/>
          <w:b/>
          <w:sz w:val="20"/>
          <w:szCs w:val="24"/>
        </w:rPr>
        <w:t xml:space="preserve"> Data</w:t>
      </w:r>
    </w:p>
    <w:p w:rsidR="001B2B9F" w:rsidRPr="0082290D" w:rsidRDefault="001B2B9F" w:rsidP="00865F50">
      <w:pPr>
        <w:spacing w:line="240" w:lineRule="auto"/>
        <w:jc w:val="both"/>
        <w:rPr>
          <w:rFonts w:ascii="Times New Roman" w:hAnsi="Times New Roman" w:cs="Times New Roman"/>
          <w:sz w:val="20"/>
          <w:szCs w:val="24"/>
          <w:lang w:val="id-ID"/>
        </w:rPr>
      </w:pPr>
      <w:r>
        <w:rPr>
          <w:rFonts w:ascii="Times New Roman" w:hAnsi="Times New Roman" w:cs="Times New Roman"/>
          <w:sz w:val="24"/>
          <w:szCs w:val="24"/>
          <w:lang w:val="en-ID"/>
        </w:rPr>
        <w:tab/>
      </w:r>
      <w:r w:rsidRPr="0082290D">
        <w:rPr>
          <w:rFonts w:ascii="Times New Roman" w:hAnsi="Times New Roman" w:cs="Times New Roman"/>
          <w:sz w:val="20"/>
          <w:szCs w:val="24"/>
          <w:lang w:val="id-ID"/>
        </w:rPr>
        <w:t>Analisis data fungsinya ialah memperlakukan data empiris ke dalam suatu bentuk yang lebih mudah dibaca dan diintepretasikan, serta dapat pula memberikan kejelasan sebagai jawaban atas pengujian dan pemecahan masalah, sehingga pada akhirnya kegiatan ini menunjuk pada penelitian kualitatif dan strategi atau pendekatan yang digunakan adalah induktif konseptual dengan menjadikan fakta dan informasi empiris sebagai strategis atau pendekatan dalam membangun konsep (Faisal 1990: 8).</w:t>
      </w:r>
      <w:proofErr w:type="spellStart"/>
      <w:r w:rsidRPr="0082290D">
        <w:rPr>
          <w:rFonts w:ascii="Times New Roman" w:hAnsi="Times New Roman" w:cs="Times New Roman"/>
          <w:sz w:val="20"/>
          <w:szCs w:val="24"/>
          <w:lang w:val="en-ID"/>
        </w:rPr>
        <w:t>Adapun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tahapan-tahapan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dalam</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analisis</w:t>
      </w:r>
      <w:proofErr w:type="spellEnd"/>
      <w:r w:rsidRPr="0082290D">
        <w:rPr>
          <w:rFonts w:ascii="Times New Roman" w:hAnsi="Times New Roman" w:cs="Times New Roman"/>
          <w:sz w:val="20"/>
          <w:szCs w:val="24"/>
          <w:lang w:val="en-ID"/>
        </w:rPr>
        <w:t xml:space="preserve"> data </w:t>
      </w:r>
      <w:proofErr w:type="spellStart"/>
      <w:r w:rsidRPr="0082290D">
        <w:rPr>
          <w:rFonts w:ascii="Times New Roman" w:hAnsi="Times New Roman" w:cs="Times New Roman"/>
          <w:sz w:val="20"/>
          <w:szCs w:val="24"/>
          <w:lang w:val="en-ID"/>
        </w:rPr>
        <w:t>dapat</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diperinci</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sebagai</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berikut</w:t>
      </w:r>
      <w:proofErr w:type="spellEnd"/>
      <w:r w:rsidRPr="0082290D">
        <w:rPr>
          <w:rFonts w:ascii="Times New Roman" w:hAnsi="Times New Roman" w:cs="Times New Roman"/>
          <w:sz w:val="20"/>
          <w:szCs w:val="24"/>
          <w:lang w:val="en-ID"/>
        </w:rPr>
        <w:t xml:space="preserve"> </w:t>
      </w:r>
    </w:p>
    <w:p w:rsidR="001B2B9F" w:rsidRPr="0082290D" w:rsidRDefault="001B2B9F" w:rsidP="009D24A9">
      <w:pPr>
        <w:pStyle w:val="ListParagraph"/>
        <w:numPr>
          <w:ilvl w:val="0"/>
          <w:numId w:val="9"/>
        </w:numPr>
        <w:spacing w:line="240" w:lineRule="auto"/>
        <w:jc w:val="both"/>
        <w:rPr>
          <w:rFonts w:ascii="Times New Roman" w:hAnsi="Times New Roman" w:cs="Times New Roman"/>
          <w:sz w:val="20"/>
          <w:szCs w:val="24"/>
          <w:lang w:val="id-ID"/>
        </w:rPr>
      </w:pPr>
      <w:r w:rsidRPr="0082290D">
        <w:rPr>
          <w:rFonts w:ascii="Times New Roman" w:hAnsi="Times New Roman" w:cs="Times New Roman"/>
          <w:i/>
          <w:iCs/>
          <w:sz w:val="20"/>
          <w:szCs w:val="24"/>
          <w:lang w:val="id-ID"/>
        </w:rPr>
        <w:t xml:space="preserve">Review </w:t>
      </w:r>
      <w:r w:rsidRPr="0082290D">
        <w:rPr>
          <w:rFonts w:ascii="Times New Roman" w:hAnsi="Times New Roman" w:cs="Times New Roman"/>
          <w:sz w:val="20"/>
          <w:szCs w:val="24"/>
          <w:lang w:val="id-ID"/>
        </w:rPr>
        <w:t xml:space="preserve">data keuangan (laporan keuangan) bank </w:t>
      </w:r>
      <w:r w:rsidR="009D24A9" w:rsidRPr="0082290D">
        <w:rPr>
          <w:rFonts w:ascii="Times New Roman" w:hAnsi="Times New Roman" w:cs="Times New Roman"/>
          <w:sz w:val="20"/>
          <w:szCs w:val="24"/>
        </w:rPr>
        <w:t xml:space="preserve">yang </w:t>
      </w:r>
      <w:r w:rsidRPr="0082290D">
        <w:rPr>
          <w:rFonts w:ascii="Times New Roman" w:hAnsi="Times New Roman" w:cs="Times New Roman"/>
          <w:sz w:val="20"/>
          <w:szCs w:val="24"/>
          <w:lang w:val="id-ID"/>
        </w:rPr>
        <w:t xml:space="preserve">terdiri </w:t>
      </w:r>
      <w:r w:rsidR="00CE7C1F" w:rsidRPr="0082290D">
        <w:rPr>
          <w:rFonts w:ascii="Times New Roman" w:hAnsi="Times New Roman" w:cs="Times New Roman"/>
          <w:sz w:val="20"/>
          <w:szCs w:val="24"/>
          <w:lang w:val="id-ID"/>
        </w:rPr>
        <w:t xml:space="preserve">dari Neraca, Laporan Laba Rugi periode </w:t>
      </w:r>
      <w:r w:rsidRPr="0082290D">
        <w:rPr>
          <w:rFonts w:ascii="Times New Roman" w:hAnsi="Times New Roman" w:cs="Times New Roman"/>
          <w:sz w:val="20"/>
          <w:szCs w:val="24"/>
          <w:lang w:val="id-ID"/>
        </w:rPr>
        <w:t xml:space="preserve">2011 sampai dengan 2013. </w:t>
      </w:r>
    </w:p>
    <w:p w:rsidR="009D24A9" w:rsidRPr="0082290D" w:rsidRDefault="001B2B9F" w:rsidP="009D24A9">
      <w:pPr>
        <w:pStyle w:val="ListParagraph"/>
        <w:numPr>
          <w:ilvl w:val="0"/>
          <w:numId w:val="9"/>
        </w:numPr>
        <w:spacing w:line="240" w:lineRule="auto"/>
        <w:jc w:val="both"/>
        <w:rPr>
          <w:rFonts w:ascii="Times New Roman" w:hAnsi="Times New Roman" w:cs="Times New Roman"/>
          <w:sz w:val="20"/>
          <w:szCs w:val="24"/>
        </w:rPr>
      </w:pPr>
      <w:proofErr w:type="spellStart"/>
      <w:r w:rsidRPr="0082290D">
        <w:rPr>
          <w:rFonts w:ascii="Times New Roman" w:hAnsi="Times New Roman" w:cs="Times New Roman"/>
          <w:sz w:val="20"/>
          <w:szCs w:val="24"/>
          <w:lang w:val="en-ID"/>
        </w:rPr>
        <w:t>Melakukan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perhitungan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atas</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rasio</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likuiditas</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solvabilitas</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rentabilitas</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pada</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Laporan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Keuangan</w:t>
      </w:r>
      <w:proofErr w:type="spellEnd"/>
      <w:r w:rsidRPr="0082290D">
        <w:rPr>
          <w:rFonts w:ascii="Times New Roman" w:hAnsi="Times New Roman" w:cs="Times New Roman"/>
          <w:sz w:val="20"/>
          <w:szCs w:val="24"/>
          <w:lang w:val="en-ID"/>
        </w:rPr>
        <w:t xml:space="preserve"> bank. </w:t>
      </w:r>
    </w:p>
    <w:p w:rsidR="001B2B9F" w:rsidRPr="0082290D" w:rsidRDefault="001B2B9F" w:rsidP="00CE7C1F">
      <w:pPr>
        <w:pStyle w:val="ListParagraph"/>
        <w:numPr>
          <w:ilvl w:val="0"/>
          <w:numId w:val="9"/>
        </w:numPr>
        <w:spacing w:line="240" w:lineRule="auto"/>
        <w:jc w:val="both"/>
        <w:rPr>
          <w:rFonts w:ascii="Times New Roman" w:hAnsi="Times New Roman" w:cs="Times New Roman"/>
          <w:sz w:val="20"/>
          <w:szCs w:val="24"/>
        </w:rPr>
      </w:pPr>
      <w:proofErr w:type="spellStart"/>
      <w:proofErr w:type="gramStart"/>
      <w:r w:rsidRPr="0082290D">
        <w:rPr>
          <w:rFonts w:ascii="Times New Roman" w:hAnsi="Times New Roman" w:cs="Times New Roman"/>
          <w:sz w:val="20"/>
          <w:szCs w:val="24"/>
        </w:rPr>
        <w:t>menggunakan</w:t>
      </w:r>
      <w:proofErr w:type="spellEnd"/>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Analisis</w:t>
      </w:r>
      <w:proofErr w:type="spellEnd"/>
      <w:r w:rsidRPr="0082290D">
        <w:rPr>
          <w:rFonts w:ascii="Times New Roman" w:hAnsi="Times New Roman" w:cs="Times New Roman"/>
          <w:sz w:val="20"/>
          <w:szCs w:val="24"/>
        </w:rPr>
        <w:t xml:space="preserve"> Camels yang </w:t>
      </w:r>
      <w:proofErr w:type="spellStart"/>
      <w:r w:rsidRPr="0082290D">
        <w:rPr>
          <w:rFonts w:ascii="Times New Roman" w:hAnsi="Times New Roman" w:cs="Times New Roman"/>
          <w:sz w:val="20"/>
          <w:szCs w:val="24"/>
        </w:rPr>
        <w:t>diatur</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secara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sah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peraturan</w:t>
      </w:r>
      <w:proofErr w:type="spellEnd"/>
      <w:r w:rsidRPr="0082290D">
        <w:rPr>
          <w:rFonts w:ascii="Times New Roman" w:hAnsi="Times New Roman" w:cs="Times New Roman"/>
          <w:sz w:val="20"/>
          <w:szCs w:val="24"/>
        </w:rPr>
        <w:t xml:space="preserve"> Bank Indonesia </w:t>
      </w:r>
      <w:proofErr w:type="spellStart"/>
      <w:r w:rsidRPr="0082290D">
        <w:rPr>
          <w:rFonts w:ascii="Times New Roman" w:hAnsi="Times New Roman" w:cs="Times New Roman"/>
          <w:sz w:val="20"/>
          <w:szCs w:val="24"/>
        </w:rPr>
        <w:t>Nomor</w:t>
      </w:r>
      <w:proofErr w:type="spellEnd"/>
      <w:r w:rsidRPr="0082290D">
        <w:rPr>
          <w:rFonts w:ascii="Times New Roman" w:hAnsi="Times New Roman" w:cs="Times New Roman"/>
          <w:sz w:val="20"/>
          <w:szCs w:val="24"/>
        </w:rPr>
        <w:t xml:space="preserve"> 6/10/PBI/2004 </w:t>
      </w:r>
      <w:proofErr w:type="spellStart"/>
      <w:r w:rsidRPr="0082290D">
        <w:rPr>
          <w:rFonts w:ascii="Times New Roman" w:hAnsi="Times New Roman" w:cs="Times New Roman"/>
          <w:sz w:val="20"/>
          <w:szCs w:val="24"/>
        </w:rPr>
        <w:t>perihal</w:t>
      </w:r>
      <w:proofErr w:type="spellEnd"/>
      <w:r w:rsidRPr="0082290D">
        <w:rPr>
          <w:rFonts w:ascii="Times New Roman" w:hAnsi="Times New Roman" w:cs="Times New Roman"/>
          <w:sz w:val="20"/>
          <w:szCs w:val="24"/>
        </w:rPr>
        <w:t xml:space="preserve"> system </w:t>
      </w:r>
      <w:proofErr w:type="spellStart"/>
      <w:r w:rsidRPr="0082290D">
        <w:rPr>
          <w:rFonts w:ascii="Times New Roman" w:hAnsi="Times New Roman" w:cs="Times New Roman"/>
          <w:sz w:val="20"/>
          <w:szCs w:val="24"/>
        </w:rPr>
        <w:t>penilaian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tingkat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kesehatan</w:t>
      </w:r>
      <w:proofErr w:type="spellEnd"/>
      <w:r w:rsidRPr="0082290D">
        <w:rPr>
          <w:rFonts w:ascii="Times New Roman" w:hAnsi="Times New Roman" w:cs="Times New Roman"/>
          <w:sz w:val="20"/>
          <w:szCs w:val="24"/>
        </w:rPr>
        <w:t xml:space="preserve"> bank. Camels </w:t>
      </w:r>
      <w:proofErr w:type="spellStart"/>
      <w:r w:rsidRPr="0082290D">
        <w:rPr>
          <w:rFonts w:ascii="Times New Roman" w:hAnsi="Times New Roman" w:cs="Times New Roman"/>
          <w:sz w:val="20"/>
          <w:szCs w:val="24"/>
        </w:rPr>
        <w:t>sendiri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merupakan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kepanjangan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dari</w:t>
      </w:r>
      <w:proofErr w:type="spellEnd"/>
      <w:r w:rsidRPr="0082290D">
        <w:rPr>
          <w:rFonts w:ascii="Times New Roman" w:hAnsi="Times New Roman" w:cs="Times New Roman"/>
          <w:sz w:val="20"/>
          <w:szCs w:val="24"/>
        </w:rPr>
        <w:t xml:space="preserve"> Capital(C), Asset Quality(A), Management(M), Earning(E), Liability </w:t>
      </w:r>
      <w:proofErr w:type="spellStart"/>
      <w:r w:rsidRPr="0082290D">
        <w:rPr>
          <w:rFonts w:ascii="Times New Roman" w:hAnsi="Times New Roman" w:cs="Times New Roman"/>
          <w:sz w:val="20"/>
          <w:szCs w:val="24"/>
        </w:rPr>
        <w:t>atau</w:t>
      </w:r>
      <w:proofErr w:type="spellEnd"/>
      <w:r w:rsidRPr="0082290D">
        <w:rPr>
          <w:rFonts w:ascii="Times New Roman" w:hAnsi="Times New Roman" w:cs="Times New Roman"/>
          <w:sz w:val="20"/>
          <w:szCs w:val="24"/>
        </w:rPr>
        <w:t xml:space="preserve"> Liquidity(L),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Sensitivity to Market Risk(S).</w:t>
      </w:r>
    </w:p>
    <w:p w:rsidR="00865F50" w:rsidRDefault="005934B7" w:rsidP="009D24A9">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III</w:t>
      </w:r>
      <w:r w:rsidR="001B2B9F">
        <w:rPr>
          <w:rFonts w:ascii="Times New Roman" w:hAnsi="Times New Roman" w:cs="Times New Roman"/>
          <w:b/>
          <w:sz w:val="24"/>
          <w:szCs w:val="24"/>
        </w:rPr>
        <w:t xml:space="preserve">. </w:t>
      </w:r>
      <w:r w:rsidR="002364C6">
        <w:rPr>
          <w:rFonts w:ascii="Times New Roman" w:hAnsi="Times New Roman" w:cs="Times New Roman"/>
          <w:b/>
          <w:sz w:val="24"/>
          <w:szCs w:val="24"/>
        </w:rPr>
        <w:t>HASIL DAN PEMBAHASAN</w:t>
      </w:r>
      <w:r w:rsidR="002364C6" w:rsidRPr="00865F50">
        <w:rPr>
          <w:rFonts w:ascii="Times New Roman" w:hAnsi="Times New Roman" w:cs="Times New Roman"/>
          <w:b/>
          <w:sz w:val="24"/>
          <w:szCs w:val="24"/>
        </w:rPr>
        <w:t xml:space="preserve"> </w:t>
      </w:r>
    </w:p>
    <w:p w:rsidR="00865F50" w:rsidRPr="009564D6" w:rsidRDefault="00865F50" w:rsidP="00CE7C1F">
      <w:pPr>
        <w:numPr>
          <w:ilvl w:val="0"/>
          <w:numId w:val="10"/>
        </w:numPr>
        <w:spacing w:after="0" w:line="240" w:lineRule="auto"/>
        <w:jc w:val="both"/>
        <w:rPr>
          <w:rFonts w:ascii="Times New Roman" w:hAnsi="Times New Roman" w:cs="Times New Roman"/>
          <w:b/>
          <w:sz w:val="24"/>
          <w:szCs w:val="24"/>
          <w:lang w:val="id-ID"/>
        </w:rPr>
      </w:pPr>
      <w:r w:rsidRPr="009564D6">
        <w:rPr>
          <w:rFonts w:ascii="Times New Roman" w:hAnsi="Times New Roman" w:cs="Times New Roman"/>
          <w:b/>
          <w:sz w:val="24"/>
          <w:szCs w:val="24"/>
          <w:lang w:val="id-ID"/>
        </w:rPr>
        <w:t>Rasio Likuiditas</w:t>
      </w:r>
    </w:p>
    <w:p w:rsidR="00865F50" w:rsidRPr="0082290D" w:rsidRDefault="00865F50" w:rsidP="00CE7C1F">
      <w:pPr>
        <w:spacing w:after="0" w:line="240" w:lineRule="auto"/>
        <w:jc w:val="both"/>
        <w:rPr>
          <w:rFonts w:ascii="Times New Roman" w:hAnsi="Times New Roman" w:cs="Times New Roman"/>
          <w:sz w:val="20"/>
          <w:szCs w:val="24"/>
        </w:rPr>
      </w:pPr>
      <w:proofErr w:type="spellStart"/>
      <w:proofErr w:type="gramStart"/>
      <w:r w:rsidRPr="0082290D">
        <w:rPr>
          <w:rFonts w:ascii="Times New Roman" w:hAnsi="Times New Roman" w:cs="Times New Roman"/>
          <w:sz w:val="20"/>
          <w:szCs w:val="24"/>
          <w:lang w:val="en-ID"/>
        </w:rPr>
        <w:t>Rasio</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likuiditas</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bertujuan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mengukur</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kemampuan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perusahaan</w:t>
      </w:r>
      <w:proofErr w:type="spellEnd"/>
      <w:r w:rsidRPr="0082290D">
        <w:rPr>
          <w:rFonts w:ascii="Times New Roman" w:hAnsi="Times New Roman" w:cs="Times New Roman"/>
          <w:b/>
          <w:sz w:val="20"/>
          <w:szCs w:val="24"/>
          <w:lang w:val="id-ID"/>
        </w:rPr>
        <w:t xml:space="preserve"> </w:t>
      </w:r>
      <w:proofErr w:type="spellStart"/>
      <w:r w:rsidRPr="0082290D">
        <w:rPr>
          <w:rFonts w:ascii="Times New Roman" w:hAnsi="Times New Roman" w:cs="Times New Roman"/>
          <w:sz w:val="20"/>
          <w:szCs w:val="24"/>
          <w:lang w:val="en-ID"/>
        </w:rPr>
        <w:t>dalam</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memenuhi</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kewajiban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jangka</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pendeknya</w:t>
      </w:r>
      <w:proofErr w:type="spellEnd"/>
      <w:r w:rsidRPr="0082290D">
        <w:rPr>
          <w:rFonts w:ascii="Times New Roman" w:hAnsi="Times New Roman" w:cs="Times New Roman"/>
          <w:sz w:val="20"/>
          <w:szCs w:val="24"/>
          <w:lang w:val="en-ID"/>
        </w:rPr>
        <w:t>.</w:t>
      </w:r>
      <w:proofErr w:type="gramEnd"/>
      <w:r w:rsidRPr="0082290D">
        <w:rPr>
          <w:rFonts w:ascii="Times New Roman" w:hAnsi="Times New Roman" w:cs="Times New Roman"/>
          <w:sz w:val="20"/>
          <w:szCs w:val="24"/>
          <w:lang w:val="en-ID"/>
        </w:rPr>
        <w:t xml:space="preserve"> </w:t>
      </w:r>
      <w:proofErr w:type="spellStart"/>
      <w:proofErr w:type="gramStart"/>
      <w:r w:rsidRPr="0082290D">
        <w:rPr>
          <w:rFonts w:ascii="Times New Roman" w:hAnsi="Times New Roman" w:cs="Times New Roman"/>
          <w:sz w:val="20"/>
          <w:szCs w:val="24"/>
          <w:lang w:val="en-ID"/>
        </w:rPr>
        <w:t>Rasio</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likuiditas</w:t>
      </w:r>
      <w:proofErr w:type="spellEnd"/>
      <w:r w:rsidRPr="0082290D">
        <w:rPr>
          <w:rFonts w:ascii="Times New Roman" w:hAnsi="Times New Roman" w:cs="Times New Roman"/>
          <w:b/>
          <w:sz w:val="20"/>
          <w:szCs w:val="24"/>
          <w:lang w:val="id-ID"/>
        </w:rPr>
        <w:t xml:space="preserve"> </w:t>
      </w:r>
      <w:proofErr w:type="spellStart"/>
      <w:r w:rsidRPr="0082290D">
        <w:rPr>
          <w:rFonts w:ascii="Times New Roman" w:hAnsi="Times New Roman" w:cs="Times New Roman"/>
          <w:sz w:val="20"/>
          <w:szCs w:val="24"/>
          <w:lang w:val="en-ID"/>
        </w:rPr>
        <w:t>dapat</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dihitung</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berdasarka</w:t>
      </w:r>
      <w:proofErr w:type="spellEnd"/>
      <w:r w:rsidRPr="0082290D">
        <w:rPr>
          <w:rFonts w:ascii="Times New Roman" w:hAnsi="Times New Roman" w:cs="Times New Roman"/>
          <w:sz w:val="20"/>
          <w:szCs w:val="24"/>
          <w:lang w:val="id-ID"/>
        </w:rPr>
        <w:t xml:space="preserve">n </w:t>
      </w:r>
      <w:proofErr w:type="spellStart"/>
      <w:r w:rsidRPr="0082290D">
        <w:rPr>
          <w:rFonts w:ascii="Times New Roman" w:hAnsi="Times New Roman" w:cs="Times New Roman"/>
          <w:sz w:val="20"/>
          <w:szCs w:val="24"/>
          <w:lang w:val="en-ID"/>
        </w:rPr>
        <w:t>informasi</w:t>
      </w:r>
      <w:proofErr w:type="spellEnd"/>
      <w:r w:rsidRPr="0082290D">
        <w:rPr>
          <w:rFonts w:ascii="Times New Roman" w:hAnsi="Times New Roman" w:cs="Times New Roman"/>
          <w:sz w:val="20"/>
          <w:szCs w:val="24"/>
          <w:lang w:val="en-ID"/>
        </w:rPr>
        <w:t xml:space="preserve"> modal </w:t>
      </w:r>
      <w:proofErr w:type="spellStart"/>
      <w:r w:rsidRPr="0082290D">
        <w:rPr>
          <w:rFonts w:ascii="Times New Roman" w:hAnsi="Times New Roman" w:cs="Times New Roman"/>
          <w:sz w:val="20"/>
          <w:szCs w:val="24"/>
          <w:lang w:val="en-ID"/>
        </w:rPr>
        <w:t>kerja</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dari</w:t>
      </w:r>
      <w:proofErr w:type="spellEnd"/>
      <w:r w:rsidRPr="0082290D">
        <w:rPr>
          <w:rFonts w:ascii="Times New Roman" w:hAnsi="Times New Roman" w:cs="Times New Roman"/>
          <w:sz w:val="20"/>
          <w:szCs w:val="24"/>
          <w:lang w:val="en-ID"/>
        </w:rPr>
        <w:t xml:space="preserve"> pos </w:t>
      </w:r>
      <w:proofErr w:type="spellStart"/>
      <w:r w:rsidRPr="0082290D">
        <w:rPr>
          <w:rFonts w:ascii="Times New Roman" w:hAnsi="Times New Roman" w:cs="Times New Roman"/>
          <w:sz w:val="20"/>
          <w:szCs w:val="24"/>
          <w:lang w:val="en-ID"/>
        </w:rPr>
        <w:t>aktiva</w:t>
      </w:r>
      <w:proofErr w:type="spellEnd"/>
      <w:r w:rsidRPr="0082290D">
        <w:rPr>
          <w:rFonts w:ascii="Times New Roman" w:hAnsi="Times New Roman" w:cs="Times New Roman"/>
          <w:b/>
          <w:sz w:val="20"/>
          <w:szCs w:val="24"/>
          <w:lang w:val="id-ID"/>
        </w:rPr>
        <w:t xml:space="preserve"> </w:t>
      </w:r>
      <w:proofErr w:type="spellStart"/>
      <w:r w:rsidRPr="0082290D">
        <w:rPr>
          <w:rFonts w:ascii="Times New Roman" w:hAnsi="Times New Roman" w:cs="Times New Roman"/>
          <w:sz w:val="20"/>
          <w:szCs w:val="24"/>
          <w:lang w:val="en-ID"/>
        </w:rPr>
        <w:t>lancar</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hutang</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lanc</w:t>
      </w:r>
      <w:proofErr w:type="spellEnd"/>
      <w:r w:rsidRPr="0082290D">
        <w:rPr>
          <w:rFonts w:ascii="Times New Roman" w:hAnsi="Times New Roman" w:cs="Times New Roman"/>
          <w:sz w:val="20"/>
          <w:szCs w:val="24"/>
          <w:lang w:val="id-ID"/>
        </w:rPr>
        <w:t>a</w:t>
      </w:r>
      <w:r w:rsidRPr="0082290D">
        <w:rPr>
          <w:rFonts w:ascii="Times New Roman" w:hAnsi="Times New Roman" w:cs="Times New Roman"/>
          <w:sz w:val="20"/>
          <w:szCs w:val="24"/>
          <w:lang w:val="en-ID"/>
        </w:rPr>
        <w:t>r</w:t>
      </w:r>
      <w:r w:rsidRPr="0082290D">
        <w:rPr>
          <w:rFonts w:ascii="Times New Roman" w:hAnsi="Times New Roman" w:cs="Times New Roman"/>
          <w:sz w:val="20"/>
          <w:szCs w:val="24"/>
          <w:lang w:val="id-ID"/>
        </w:rPr>
        <w:t>.</w:t>
      </w:r>
      <w:proofErr w:type="gramEnd"/>
      <w:r w:rsidRPr="0082290D">
        <w:rPr>
          <w:rFonts w:ascii="Times New Roman" w:hAnsi="Times New Roman" w:cs="Times New Roman"/>
          <w:sz w:val="20"/>
          <w:szCs w:val="24"/>
        </w:rPr>
        <w:t xml:space="preserve"> </w:t>
      </w:r>
      <w:proofErr w:type="gramStart"/>
      <w:r w:rsidRPr="0082290D">
        <w:rPr>
          <w:rFonts w:ascii="Times New Roman" w:hAnsi="Times New Roman" w:cs="Times New Roman"/>
          <w:i/>
          <w:iCs/>
          <w:sz w:val="20"/>
          <w:szCs w:val="24"/>
        </w:rPr>
        <w:t xml:space="preserve">Current </w:t>
      </w:r>
      <w:r w:rsidRPr="0082290D">
        <w:rPr>
          <w:rFonts w:ascii="Times New Roman" w:hAnsi="Times New Roman" w:cs="Times New Roman"/>
          <w:i/>
          <w:iCs/>
          <w:sz w:val="20"/>
          <w:szCs w:val="24"/>
          <w:lang w:val="id-ID"/>
        </w:rPr>
        <w:t xml:space="preserve"> Ratio</w:t>
      </w:r>
      <w:proofErr w:type="gramEnd"/>
      <w:r w:rsidRPr="0082290D">
        <w:rPr>
          <w:rFonts w:ascii="Times New Roman" w:hAnsi="Times New Roman" w:cs="Times New Roman"/>
          <w:i/>
          <w:iCs/>
          <w:sz w:val="20"/>
          <w:szCs w:val="24"/>
          <w:lang w:val="id-ID"/>
        </w:rPr>
        <w:t xml:space="preserve"> </w:t>
      </w:r>
      <w:r w:rsidRPr="0082290D">
        <w:rPr>
          <w:rFonts w:ascii="Times New Roman" w:hAnsi="Times New Roman" w:cs="Times New Roman"/>
          <w:sz w:val="20"/>
          <w:szCs w:val="24"/>
          <w:lang w:val="id-ID"/>
        </w:rPr>
        <w:t xml:space="preserve">dirumuskan sebagai berikut (Kasmir, 2010: 286) : </w:t>
      </w:r>
    </w:p>
    <w:p w:rsidR="00865F50" w:rsidRDefault="00865F50" w:rsidP="00CE7C1F">
      <w:pPr>
        <w:tabs>
          <w:tab w:val="left" w:pos="720"/>
          <w:tab w:val="left" w:pos="1440"/>
          <w:tab w:val="left" w:pos="2160"/>
          <w:tab w:val="left" w:pos="2880"/>
          <w:tab w:val="left" w:pos="3600"/>
          <w:tab w:val="left" w:pos="4136"/>
        </w:tabs>
        <w:spacing w:after="0" w:line="240" w:lineRule="auto"/>
        <w:ind w:firstLine="360"/>
        <w:jc w:val="both"/>
        <w:outlineLvl w:val="0"/>
      </w:pPr>
      <w:r w:rsidRPr="0082290D">
        <w:rPr>
          <w:sz w:val="18"/>
          <w:lang w:val="sv-SE"/>
        </w:rPr>
        <w:tab/>
      </w:r>
      <w:r w:rsidRPr="0082290D">
        <w:rPr>
          <w:sz w:val="18"/>
        </w:rPr>
        <w:t>C</w:t>
      </w:r>
      <w:r w:rsidRPr="0082290D">
        <w:rPr>
          <w:sz w:val="18"/>
          <w:lang w:val="id-ID"/>
        </w:rPr>
        <w:t>R</w:t>
      </w:r>
      <w:r w:rsidRPr="0082290D">
        <w:rPr>
          <w:sz w:val="18"/>
          <w:lang w:val="sv-SE"/>
        </w:rPr>
        <w:t xml:space="preserve"> = </w:t>
      </w:r>
      <w:r w:rsidRPr="0082290D">
        <w:rPr>
          <w:position w:val="-30"/>
          <w:sz w:val="18"/>
        </w:rPr>
        <w:object w:dxaOrig="2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4.5pt" o:ole="">
            <v:imagedata r:id="rId5" o:title=""/>
          </v:shape>
          <o:OLEObject Type="Embed" ProgID="Equation.3" ShapeID="_x0000_i1025" DrawAspect="Content" ObjectID="_1470049885" r:id="rId6"/>
        </w:object>
      </w:r>
      <w:r>
        <w:tab/>
      </w:r>
    </w:p>
    <w:p w:rsidR="00865F50" w:rsidRPr="009564D6" w:rsidRDefault="00865F50" w:rsidP="00CE7C1F">
      <w:pPr>
        <w:numPr>
          <w:ilvl w:val="0"/>
          <w:numId w:val="10"/>
        </w:numPr>
        <w:tabs>
          <w:tab w:val="left" w:pos="720"/>
          <w:tab w:val="left" w:pos="1440"/>
          <w:tab w:val="left" w:pos="2160"/>
          <w:tab w:val="left" w:pos="2880"/>
          <w:tab w:val="left" w:pos="3600"/>
          <w:tab w:val="left" w:pos="4136"/>
        </w:tabs>
        <w:spacing w:after="0" w:line="240" w:lineRule="auto"/>
        <w:jc w:val="both"/>
        <w:outlineLvl w:val="0"/>
        <w:rPr>
          <w:rFonts w:ascii="Times New Roman" w:hAnsi="Times New Roman" w:cs="Times New Roman"/>
          <w:b/>
          <w:sz w:val="24"/>
          <w:szCs w:val="24"/>
          <w:lang w:val="id-ID"/>
        </w:rPr>
      </w:pPr>
      <w:r w:rsidRPr="009564D6">
        <w:rPr>
          <w:rFonts w:ascii="Times New Roman" w:hAnsi="Times New Roman" w:cs="Times New Roman"/>
          <w:b/>
          <w:sz w:val="24"/>
          <w:szCs w:val="24"/>
          <w:lang w:val="id-ID"/>
        </w:rPr>
        <w:lastRenderedPageBreak/>
        <w:t>Rasio Solvabiltas</w:t>
      </w:r>
    </w:p>
    <w:p w:rsidR="00865F50" w:rsidRPr="0082290D" w:rsidRDefault="00865F50" w:rsidP="00CE7C1F">
      <w:pPr>
        <w:tabs>
          <w:tab w:val="left" w:pos="720"/>
          <w:tab w:val="left" w:pos="1440"/>
          <w:tab w:val="left" w:pos="2160"/>
          <w:tab w:val="left" w:pos="2880"/>
          <w:tab w:val="left" w:pos="3600"/>
          <w:tab w:val="left" w:pos="4136"/>
        </w:tabs>
        <w:spacing w:after="0" w:line="240" w:lineRule="auto"/>
        <w:ind w:firstLine="360"/>
        <w:jc w:val="both"/>
        <w:outlineLvl w:val="0"/>
        <w:rPr>
          <w:rFonts w:ascii="Times New Roman" w:hAnsi="Times New Roman" w:cs="Times New Roman"/>
          <w:b/>
          <w:sz w:val="20"/>
          <w:szCs w:val="24"/>
          <w:lang w:val="id-ID"/>
        </w:rPr>
      </w:pPr>
      <w:proofErr w:type="spellStart"/>
      <w:r w:rsidRPr="0082290D">
        <w:rPr>
          <w:rFonts w:ascii="Times New Roman" w:hAnsi="Times New Roman" w:cs="Times New Roman"/>
          <w:sz w:val="20"/>
          <w:szCs w:val="24"/>
          <w:lang w:val="en-ID"/>
        </w:rPr>
        <w:t>Rasio</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solvabilitas</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atau</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rasio</w:t>
      </w:r>
      <w:proofErr w:type="spellEnd"/>
      <w:r w:rsidRPr="0082290D">
        <w:rPr>
          <w:rFonts w:ascii="Times New Roman" w:hAnsi="Times New Roman" w:cs="Times New Roman"/>
          <w:sz w:val="20"/>
          <w:szCs w:val="24"/>
          <w:lang w:val="en-ID"/>
        </w:rPr>
        <w:t xml:space="preserve"> </w:t>
      </w:r>
      <w:r w:rsidRPr="0082290D">
        <w:rPr>
          <w:rFonts w:ascii="Times New Roman" w:hAnsi="Times New Roman" w:cs="Times New Roman"/>
          <w:i/>
          <w:iCs/>
          <w:sz w:val="20"/>
          <w:szCs w:val="24"/>
          <w:lang w:val="en-ID"/>
        </w:rPr>
        <w:t>leverage</w:t>
      </w:r>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bertujuan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untuk</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mengukur</w:t>
      </w:r>
      <w:proofErr w:type="spellEnd"/>
      <w:r w:rsidRPr="0082290D">
        <w:rPr>
          <w:rFonts w:ascii="Times New Roman" w:hAnsi="Times New Roman" w:cs="Times New Roman"/>
          <w:b/>
          <w:sz w:val="20"/>
          <w:szCs w:val="24"/>
          <w:lang w:val="id-ID"/>
        </w:rPr>
        <w:t xml:space="preserve"> </w:t>
      </w:r>
      <w:proofErr w:type="spellStart"/>
      <w:r w:rsidRPr="0082290D">
        <w:rPr>
          <w:rFonts w:ascii="Times New Roman" w:hAnsi="Times New Roman" w:cs="Times New Roman"/>
          <w:sz w:val="20"/>
          <w:szCs w:val="24"/>
          <w:lang w:val="en-ID"/>
        </w:rPr>
        <w:t>seberapa</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jauh</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aktiva</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perusahaan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dibiayai</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dengan</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hutang</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atau</w:t>
      </w:r>
      <w:proofErr w:type="spellEnd"/>
      <w:r w:rsidRPr="0082290D">
        <w:rPr>
          <w:rFonts w:ascii="Times New Roman" w:hAnsi="Times New Roman" w:cs="Times New Roman"/>
          <w:b/>
          <w:sz w:val="20"/>
          <w:szCs w:val="24"/>
          <w:lang w:val="id-ID"/>
        </w:rPr>
        <w:t xml:space="preserve"> </w:t>
      </w:r>
      <w:proofErr w:type="spellStart"/>
      <w:r w:rsidRPr="0082290D">
        <w:rPr>
          <w:rFonts w:ascii="Times New Roman" w:hAnsi="Times New Roman" w:cs="Times New Roman"/>
          <w:sz w:val="20"/>
          <w:szCs w:val="24"/>
          <w:lang w:val="en-ID"/>
        </w:rPr>
        <w:t>dibiayai</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oleh</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pihak</w:t>
      </w:r>
      <w:proofErr w:type="spellEnd"/>
      <w:r w:rsidRPr="0082290D">
        <w:rPr>
          <w:rFonts w:ascii="Times New Roman" w:hAnsi="Times New Roman" w:cs="Times New Roman"/>
          <w:sz w:val="20"/>
          <w:szCs w:val="24"/>
          <w:lang w:val="en-ID"/>
        </w:rPr>
        <w:t xml:space="preserve"> </w:t>
      </w:r>
      <w:proofErr w:type="spellStart"/>
      <w:r w:rsidRPr="0082290D">
        <w:rPr>
          <w:rFonts w:ascii="Times New Roman" w:hAnsi="Times New Roman" w:cs="Times New Roman"/>
          <w:sz w:val="20"/>
          <w:szCs w:val="24"/>
          <w:lang w:val="en-ID"/>
        </w:rPr>
        <w:t>luar</w:t>
      </w:r>
      <w:proofErr w:type="spellEnd"/>
      <w:r w:rsidRPr="0082290D">
        <w:rPr>
          <w:rFonts w:ascii="Times New Roman" w:hAnsi="Times New Roman" w:cs="Times New Roman"/>
          <w:sz w:val="20"/>
          <w:szCs w:val="24"/>
          <w:lang w:val="en-ID"/>
        </w:rPr>
        <w:t>.</w:t>
      </w:r>
    </w:p>
    <w:p w:rsidR="00865F50" w:rsidRPr="0082290D" w:rsidRDefault="00865F50" w:rsidP="009D24A9">
      <w:pPr>
        <w:numPr>
          <w:ilvl w:val="0"/>
          <w:numId w:val="12"/>
        </w:numPr>
        <w:tabs>
          <w:tab w:val="left" w:pos="720"/>
          <w:tab w:val="left" w:pos="1440"/>
          <w:tab w:val="left" w:pos="2160"/>
          <w:tab w:val="left" w:pos="2880"/>
          <w:tab w:val="left" w:pos="3600"/>
          <w:tab w:val="left" w:pos="4136"/>
        </w:tabs>
        <w:spacing w:after="0" w:line="240" w:lineRule="auto"/>
        <w:jc w:val="both"/>
        <w:outlineLvl w:val="0"/>
        <w:rPr>
          <w:rFonts w:ascii="Times New Roman" w:hAnsi="Times New Roman" w:cs="Times New Roman"/>
          <w:i/>
          <w:sz w:val="20"/>
          <w:szCs w:val="24"/>
          <w:lang w:val="id-ID"/>
        </w:rPr>
      </w:pPr>
      <w:r w:rsidRPr="0082290D">
        <w:rPr>
          <w:rFonts w:ascii="Times New Roman" w:hAnsi="Times New Roman" w:cs="Times New Roman"/>
          <w:i/>
          <w:sz w:val="20"/>
          <w:szCs w:val="24"/>
          <w:lang w:val="id-ID"/>
        </w:rPr>
        <w:t>Debt to Asset Ratio</w:t>
      </w:r>
    </w:p>
    <w:p w:rsidR="00865F50" w:rsidRPr="0082290D" w:rsidRDefault="00865F50" w:rsidP="009D24A9">
      <w:pPr>
        <w:tabs>
          <w:tab w:val="left" w:pos="720"/>
          <w:tab w:val="left" w:pos="1440"/>
          <w:tab w:val="left" w:pos="2160"/>
          <w:tab w:val="left" w:pos="2880"/>
          <w:tab w:val="left" w:pos="3600"/>
          <w:tab w:val="left" w:pos="4136"/>
        </w:tabs>
        <w:spacing w:after="0" w:line="240" w:lineRule="auto"/>
        <w:ind w:firstLine="360"/>
        <w:jc w:val="both"/>
        <w:outlineLvl w:val="0"/>
        <w:rPr>
          <w:rFonts w:ascii="Times New Roman" w:hAnsi="Times New Roman" w:cs="Times New Roman"/>
          <w:sz w:val="20"/>
          <w:szCs w:val="24"/>
        </w:rPr>
      </w:pPr>
      <w:r w:rsidRPr="0082290D">
        <w:rPr>
          <w:rFonts w:ascii="Times New Roman" w:hAnsi="Times New Roman" w:cs="Times New Roman"/>
          <w:i/>
          <w:sz w:val="20"/>
          <w:szCs w:val="24"/>
          <w:lang w:val="id-ID"/>
        </w:rPr>
        <w:t>Debt to asset ratio</w:t>
      </w:r>
      <w:r w:rsidRPr="0082290D">
        <w:rPr>
          <w:rFonts w:ascii="Times New Roman" w:hAnsi="Times New Roman" w:cs="Times New Roman"/>
          <w:sz w:val="20"/>
          <w:szCs w:val="24"/>
          <w:lang w:val="id-ID"/>
        </w:rPr>
        <w:t xml:space="preserve"> yaitu rasio total kewajiban terhadap asset. </w:t>
      </w:r>
      <w:r w:rsidR="009D24A9" w:rsidRPr="0082290D">
        <w:rPr>
          <w:rFonts w:ascii="Times New Roman" w:hAnsi="Times New Roman" w:cs="Times New Roman"/>
          <w:sz w:val="20"/>
          <w:szCs w:val="24"/>
          <w:lang w:val="id-ID"/>
        </w:rPr>
        <w:t xml:space="preserve">Rasio ini </w:t>
      </w:r>
      <w:r w:rsidRPr="0082290D">
        <w:rPr>
          <w:rFonts w:ascii="Times New Roman" w:hAnsi="Times New Roman" w:cs="Times New Roman"/>
          <w:sz w:val="20"/>
          <w:szCs w:val="24"/>
          <w:lang w:val="id-ID"/>
        </w:rPr>
        <w:t xml:space="preserve">menyediakan informasi tentang aktiva akibat kerugian tanpa megurangi pembayaran bunga kreditor (Darsono, 2005: 54). Nilai rasio yang tinggi menunjukkan peningkatan dari resiko kreditor berupa ketidakmampuan perusahaan dalam membayar semua kewajibannya. Rumus untuk menghitung </w:t>
      </w:r>
      <w:r w:rsidRPr="0082290D">
        <w:rPr>
          <w:rFonts w:ascii="Times New Roman" w:hAnsi="Times New Roman" w:cs="Times New Roman"/>
          <w:i/>
          <w:sz w:val="20"/>
          <w:szCs w:val="24"/>
          <w:lang w:val="id-ID"/>
        </w:rPr>
        <w:t>Debt to Asset Ratio</w:t>
      </w:r>
      <w:r w:rsidRPr="0082290D">
        <w:rPr>
          <w:rFonts w:ascii="Times New Roman" w:hAnsi="Times New Roman" w:cs="Times New Roman"/>
          <w:sz w:val="20"/>
          <w:szCs w:val="24"/>
          <w:lang w:val="id-ID"/>
        </w:rPr>
        <w:t xml:space="preserve"> adalah</w:t>
      </w:r>
    </w:p>
    <w:p w:rsidR="00865F50" w:rsidRPr="0082290D" w:rsidRDefault="00865F50" w:rsidP="009D24A9">
      <w:pPr>
        <w:tabs>
          <w:tab w:val="left" w:pos="6480"/>
        </w:tabs>
        <w:autoSpaceDE w:val="0"/>
        <w:autoSpaceDN w:val="0"/>
        <w:adjustRightInd w:val="0"/>
        <w:spacing w:after="27" w:line="240" w:lineRule="auto"/>
        <w:ind w:left="284" w:firstLine="425"/>
        <w:rPr>
          <w:sz w:val="18"/>
        </w:rPr>
      </w:pPr>
      <w:r w:rsidRPr="0082290D">
        <w:rPr>
          <w:sz w:val="18"/>
          <w:lang w:val="id-ID"/>
        </w:rPr>
        <w:t xml:space="preserve">DAR = </w:t>
      </w:r>
      <w:r w:rsidRPr="0082290D">
        <w:rPr>
          <w:position w:val="-30"/>
          <w:sz w:val="18"/>
        </w:rPr>
        <w:object w:dxaOrig="2740" w:dyaOrig="700">
          <v:shape id="_x0000_i1026" type="#_x0000_t75" style="width:137.25pt;height:35.25pt" o:ole="">
            <v:imagedata r:id="rId7" o:title=""/>
          </v:shape>
          <o:OLEObject Type="Embed" ProgID="Equation.3" ShapeID="_x0000_i1026" DrawAspect="Content" ObjectID="_1470049886" r:id="rId8"/>
        </w:object>
      </w:r>
      <w:r w:rsidRPr="0082290D">
        <w:rPr>
          <w:sz w:val="18"/>
        </w:rPr>
        <w:tab/>
      </w:r>
    </w:p>
    <w:p w:rsidR="00865F50" w:rsidRPr="0082290D" w:rsidRDefault="00865F50" w:rsidP="009D24A9">
      <w:pPr>
        <w:numPr>
          <w:ilvl w:val="0"/>
          <w:numId w:val="12"/>
        </w:numPr>
        <w:autoSpaceDE w:val="0"/>
        <w:autoSpaceDN w:val="0"/>
        <w:adjustRightInd w:val="0"/>
        <w:spacing w:after="0" w:line="240" w:lineRule="auto"/>
        <w:ind w:left="709" w:hanging="425"/>
        <w:rPr>
          <w:rFonts w:ascii="Times New Roman" w:hAnsi="Times New Roman" w:cs="Times New Roman"/>
          <w:color w:val="000000"/>
          <w:sz w:val="20"/>
          <w:szCs w:val="24"/>
          <w:lang w:val="id-ID" w:eastAsia="id-ID"/>
        </w:rPr>
      </w:pPr>
      <w:r w:rsidRPr="0082290D">
        <w:rPr>
          <w:rFonts w:ascii="Times New Roman" w:hAnsi="Times New Roman" w:cs="Times New Roman"/>
          <w:i/>
          <w:iCs/>
          <w:color w:val="000000"/>
          <w:sz w:val="20"/>
          <w:szCs w:val="24"/>
          <w:lang w:val="id-ID" w:eastAsia="id-ID"/>
        </w:rPr>
        <w:t xml:space="preserve">Debt to Equity Ratio </w:t>
      </w:r>
      <w:r w:rsidRPr="0082290D">
        <w:rPr>
          <w:rFonts w:ascii="Times New Roman" w:hAnsi="Times New Roman" w:cs="Times New Roman"/>
          <w:color w:val="000000"/>
          <w:sz w:val="20"/>
          <w:szCs w:val="24"/>
          <w:lang w:val="id-ID" w:eastAsia="id-ID"/>
        </w:rPr>
        <w:t xml:space="preserve">(DER) </w:t>
      </w:r>
    </w:p>
    <w:p w:rsidR="00865F50" w:rsidRPr="0082290D" w:rsidRDefault="00865F50" w:rsidP="009D24A9">
      <w:pPr>
        <w:autoSpaceDE w:val="0"/>
        <w:autoSpaceDN w:val="0"/>
        <w:adjustRightInd w:val="0"/>
        <w:spacing w:line="240" w:lineRule="auto"/>
        <w:ind w:left="284" w:firstLine="425"/>
        <w:jc w:val="both"/>
        <w:rPr>
          <w:rFonts w:ascii="Times New Roman" w:hAnsi="Times New Roman" w:cs="Times New Roman"/>
          <w:color w:val="000000"/>
          <w:sz w:val="20"/>
          <w:szCs w:val="24"/>
          <w:lang w:val="id-ID" w:eastAsia="id-ID"/>
        </w:rPr>
      </w:pPr>
      <w:r w:rsidRPr="0082290D">
        <w:rPr>
          <w:rFonts w:ascii="Times New Roman" w:hAnsi="Times New Roman" w:cs="Times New Roman"/>
          <w:color w:val="000000"/>
          <w:sz w:val="20"/>
          <w:szCs w:val="24"/>
          <w:lang w:val="id-ID" w:eastAsia="id-ID"/>
        </w:rPr>
        <w:t>Menurut Darsono (2005: 54), “</w:t>
      </w:r>
      <w:r w:rsidRPr="0082290D">
        <w:rPr>
          <w:rFonts w:ascii="Times New Roman" w:hAnsi="Times New Roman" w:cs="Times New Roman"/>
          <w:i/>
          <w:iCs/>
          <w:color w:val="000000"/>
          <w:sz w:val="20"/>
          <w:szCs w:val="24"/>
          <w:lang w:val="id-ID" w:eastAsia="id-ID"/>
        </w:rPr>
        <w:t xml:space="preserve">Debt to Equity Ratio </w:t>
      </w:r>
      <w:r w:rsidRPr="0082290D">
        <w:rPr>
          <w:rFonts w:ascii="Times New Roman" w:hAnsi="Times New Roman" w:cs="Times New Roman"/>
          <w:color w:val="000000"/>
          <w:sz w:val="20"/>
          <w:szCs w:val="24"/>
          <w:lang w:val="id-ID" w:eastAsia="id-ID"/>
        </w:rPr>
        <w:t xml:space="preserve">adalah rasio yang menunjukan persentase penyedian dana oleh pemegang saham terhadap pemberi pinjaman”. Semakin tinggi rasio, semakin endah pendanaan perusahaan yang disediakan oleh pemegang saham. </w:t>
      </w:r>
      <w:r w:rsidRPr="0082290D">
        <w:rPr>
          <w:rFonts w:ascii="Times New Roman" w:hAnsi="Times New Roman" w:cs="Times New Roman"/>
          <w:i/>
          <w:iCs/>
          <w:color w:val="000000"/>
          <w:sz w:val="20"/>
          <w:szCs w:val="24"/>
          <w:lang w:val="id-ID" w:eastAsia="id-ID"/>
        </w:rPr>
        <w:t xml:space="preserve">Debt to Equity Ratio </w:t>
      </w:r>
      <w:r w:rsidRPr="0082290D">
        <w:rPr>
          <w:rFonts w:ascii="Times New Roman" w:hAnsi="Times New Roman" w:cs="Times New Roman"/>
          <w:color w:val="000000"/>
          <w:sz w:val="20"/>
          <w:szCs w:val="24"/>
          <w:lang w:val="id-ID" w:eastAsia="id-ID"/>
        </w:rPr>
        <w:t>dirumuskan sebagai berikut (Dendawijaya, 2005: 122) :</w:t>
      </w:r>
    </w:p>
    <w:p w:rsidR="009D24A9" w:rsidRDefault="00865F50" w:rsidP="00CE7C1F">
      <w:pPr>
        <w:autoSpaceDE w:val="0"/>
        <w:autoSpaceDN w:val="0"/>
        <w:adjustRightInd w:val="0"/>
        <w:spacing w:after="27" w:line="240" w:lineRule="auto"/>
        <w:ind w:left="284" w:firstLine="425"/>
      </w:pPr>
      <w:r w:rsidRPr="0082290D">
        <w:rPr>
          <w:sz w:val="18"/>
          <w:lang w:val="id-ID"/>
        </w:rPr>
        <w:t xml:space="preserve">DER = </w:t>
      </w:r>
      <w:r w:rsidRPr="0082290D">
        <w:rPr>
          <w:position w:val="-30"/>
          <w:sz w:val="18"/>
        </w:rPr>
        <w:object w:dxaOrig="3120" w:dyaOrig="700">
          <v:shape id="_x0000_i1027" type="#_x0000_t75" style="width:156pt;height:35.25pt" o:ole="">
            <v:imagedata r:id="rId9" o:title=""/>
          </v:shape>
          <o:OLEObject Type="Embed" ProgID="Equation.3" ShapeID="_x0000_i1027" DrawAspect="Content" ObjectID="_1470049887" r:id="rId10"/>
        </w:object>
      </w:r>
    </w:p>
    <w:p w:rsidR="009D24A9" w:rsidRPr="009D24A9" w:rsidRDefault="00865F50" w:rsidP="0082290D">
      <w:pPr>
        <w:pStyle w:val="ListParagraph"/>
        <w:numPr>
          <w:ilvl w:val="0"/>
          <w:numId w:val="10"/>
        </w:numPr>
        <w:autoSpaceDE w:val="0"/>
        <w:autoSpaceDN w:val="0"/>
        <w:adjustRightInd w:val="0"/>
        <w:spacing w:after="27" w:line="240" w:lineRule="auto"/>
        <w:ind w:left="426"/>
        <w:rPr>
          <w:rFonts w:ascii="Times New Roman" w:hAnsi="Times New Roman" w:cs="Times New Roman"/>
          <w:b/>
          <w:sz w:val="24"/>
          <w:szCs w:val="24"/>
          <w:lang w:val="id-ID" w:eastAsia="id-ID"/>
        </w:rPr>
      </w:pPr>
      <w:r w:rsidRPr="009D24A9">
        <w:rPr>
          <w:rFonts w:ascii="Times New Roman" w:hAnsi="Times New Roman" w:cs="Times New Roman"/>
          <w:b/>
          <w:sz w:val="24"/>
          <w:szCs w:val="24"/>
          <w:lang w:val="id-ID" w:eastAsia="id-ID"/>
        </w:rPr>
        <w:t>Rasio Rentabilitas</w:t>
      </w:r>
    </w:p>
    <w:p w:rsidR="00865F50" w:rsidRPr="0082290D" w:rsidRDefault="009D24A9" w:rsidP="009D24A9">
      <w:pPr>
        <w:autoSpaceDE w:val="0"/>
        <w:autoSpaceDN w:val="0"/>
        <w:adjustRightInd w:val="0"/>
        <w:spacing w:after="27" w:line="240" w:lineRule="auto"/>
        <w:ind w:left="284" w:firstLine="436"/>
        <w:jc w:val="both"/>
        <w:rPr>
          <w:rFonts w:ascii="Times New Roman" w:hAnsi="Times New Roman" w:cs="Times New Roman"/>
          <w:b/>
          <w:sz w:val="20"/>
          <w:szCs w:val="24"/>
          <w:lang w:eastAsia="id-ID"/>
        </w:rPr>
      </w:pPr>
      <w:proofErr w:type="spellStart"/>
      <w:proofErr w:type="gramStart"/>
      <w:r w:rsidRPr="0082290D">
        <w:rPr>
          <w:rFonts w:ascii="Times New Roman" w:hAnsi="Times New Roman" w:cs="Times New Roman"/>
          <w:sz w:val="20"/>
          <w:szCs w:val="24"/>
        </w:rPr>
        <w:t>Ras</w:t>
      </w:r>
      <w:r w:rsidR="00865F50" w:rsidRPr="0082290D">
        <w:rPr>
          <w:rFonts w:ascii="Times New Roman" w:hAnsi="Times New Roman" w:cs="Times New Roman"/>
          <w:sz w:val="20"/>
          <w:szCs w:val="24"/>
        </w:rPr>
        <w:t>io</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rentabilitas</w:t>
      </w:r>
      <w:proofErr w:type="spellEnd"/>
      <w:r w:rsidR="00865F50" w:rsidRPr="0082290D">
        <w:rPr>
          <w:rFonts w:ascii="Times New Roman" w:hAnsi="Times New Roman" w:cs="Times New Roman"/>
          <w:sz w:val="20"/>
          <w:szCs w:val="24"/>
        </w:rPr>
        <w:t xml:space="preserve"> (</w:t>
      </w:r>
      <w:r w:rsidR="00865F50" w:rsidRPr="0082290D">
        <w:rPr>
          <w:rFonts w:ascii="Times New Roman" w:hAnsi="Times New Roman" w:cs="Times New Roman"/>
          <w:i/>
          <w:iCs/>
          <w:sz w:val="20"/>
          <w:szCs w:val="24"/>
        </w:rPr>
        <w:t>profitability ratio</w:t>
      </w:r>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bertujuan</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untuk</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mengukur</w:t>
      </w:r>
      <w:proofErr w:type="spellEnd"/>
      <w:r w:rsidR="00865F50" w:rsidRPr="0082290D">
        <w:rPr>
          <w:rFonts w:ascii="Times New Roman" w:hAnsi="Times New Roman" w:cs="Times New Roman"/>
          <w:b/>
          <w:sz w:val="20"/>
          <w:szCs w:val="24"/>
          <w:lang w:val="id-ID" w:eastAsia="id-ID"/>
        </w:rPr>
        <w:t xml:space="preserve"> </w:t>
      </w:r>
      <w:proofErr w:type="spellStart"/>
      <w:r w:rsidR="00865F50" w:rsidRPr="0082290D">
        <w:rPr>
          <w:rFonts w:ascii="Times New Roman" w:hAnsi="Times New Roman" w:cs="Times New Roman"/>
          <w:sz w:val="20"/>
          <w:szCs w:val="24"/>
        </w:rPr>
        <w:t>seberapa</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efektif</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pengelolaan</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perusahaan</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sehingga</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menghasilkan</w:t>
      </w:r>
      <w:proofErr w:type="spellEnd"/>
      <w:r w:rsidR="00865F50" w:rsidRPr="0082290D">
        <w:rPr>
          <w:rFonts w:ascii="Times New Roman" w:hAnsi="Times New Roman" w:cs="Times New Roman"/>
          <w:b/>
          <w:sz w:val="20"/>
          <w:szCs w:val="24"/>
          <w:lang w:val="id-ID" w:eastAsia="id-ID"/>
        </w:rPr>
        <w:t xml:space="preserve"> </w:t>
      </w:r>
      <w:proofErr w:type="spellStart"/>
      <w:r w:rsidR="00865F50" w:rsidRPr="0082290D">
        <w:rPr>
          <w:rFonts w:ascii="Times New Roman" w:hAnsi="Times New Roman" w:cs="Times New Roman"/>
          <w:sz w:val="20"/>
          <w:szCs w:val="24"/>
        </w:rPr>
        <w:t>keuntungan</w:t>
      </w:r>
      <w:proofErr w:type="spellEnd"/>
      <w:r w:rsidR="00865F50" w:rsidRPr="0082290D">
        <w:rPr>
          <w:rFonts w:ascii="Times New Roman" w:hAnsi="Times New Roman" w:cs="Times New Roman"/>
          <w:sz w:val="20"/>
          <w:szCs w:val="24"/>
        </w:rPr>
        <w:t>.</w:t>
      </w:r>
      <w:proofErr w:type="gramEnd"/>
      <w:r w:rsidR="00865F50" w:rsidRPr="0082290D">
        <w:rPr>
          <w:rFonts w:ascii="Times New Roman" w:hAnsi="Times New Roman" w:cs="Times New Roman"/>
          <w:sz w:val="20"/>
          <w:szCs w:val="24"/>
        </w:rPr>
        <w:t xml:space="preserve"> </w:t>
      </w:r>
      <w:proofErr w:type="spellStart"/>
      <w:proofErr w:type="gramStart"/>
      <w:r w:rsidR="00865F50" w:rsidRPr="0082290D">
        <w:rPr>
          <w:rFonts w:ascii="Times New Roman" w:hAnsi="Times New Roman" w:cs="Times New Roman"/>
          <w:sz w:val="20"/>
          <w:szCs w:val="24"/>
        </w:rPr>
        <w:t>Rentabilitas</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adalah</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hasil</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akhir</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dari</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sejumlah</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kebijakan</w:t>
      </w:r>
      <w:proofErr w:type="spellEnd"/>
      <w:r w:rsidR="00865F50" w:rsidRPr="0082290D">
        <w:rPr>
          <w:rFonts w:ascii="Times New Roman" w:hAnsi="Times New Roman" w:cs="Times New Roman"/>
          <w:b/>
          <w:sz w:val="20"/>
          <w:szCs w:val="24"/>
          <w:lang w:val="id-ID" w:eastAsia="id-ID"/>
        </w:rPr>
        <w:t xml:space="preserve"> </w:t>
      </w:r>
      <w:proofErr w:type="spellStart"/>
      <w:r w:rsidR="00865F50" w:rsidRPr="0082290D">
        <w:rPr>
          <w:rFonts w:ascii="Times New Roman" w:hAnsi="Times New Roman" w:cs="Times New Roman"/>
          <w:sz w:val="20"/>
          <w:szCs w:val="24"/>
        </w:rPr>
        <w:t>dan</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keputusan</w:t>
      </w:r>
      <w:proofErr w:type="spellEnd"/>
      <w:r w:rsidR="00865F50" w:rsidRPr="0082290D">
        <w:rPr>
          <w:rFonts w:ascii="Times New Roman" w:hAnsi="Times New Roman" w:cs="Times New Roman"/>
          <w:sz w:val="20"/>
          <w:szCs w:val="24"/>
        </w:rPr>
        <w:t xml:space="preserve"> yang </w:t>
      </w:r>
      <w:proofErr w:type="spellStart"/>
      <w:r w:rsidR="00865F50" w:rsidRPr="0082290D">
        <w:rPr>
          <w:rFonts w:ascii="Times New Roman" w:hAnsi="Times New Roman" w:cs="Times New Roman"/>
          <w:sz w:val="20"/>
          <w:szCs w:val="24"/>
        </w:rPr>
        <w:t>dilakukan</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oleh</w:t>
      </w:r>
      <w:proofErr w:type="spellEnd"/>
      <w:r w:rsidR="00865F50" w:rsidRPr="0082290D">
        <w:rPr>
          <w:rFonts w:ascii="Times New Roman" w:hAnsi="Times New Roman" w:cs="Times New Roman"/>
          <w:sz w:val="20"/>
          <w:szCs w:val="24"/>
        </w:rPr>
        <w:t xml:space="preserve"> </w:t>
      </w:r>
      <w:proofErr w:type="spellStart"/>
      <w:r w:rsidR="00865F50" w:rsidRPr="0082290D">
        <w:rPr>
          <w:rFonts w:ascii="Times New Roman" w:hAnsi="Times New Roman" w:cs="Times New Roman"/>
          <w:sz w:val="20"/>
          <w:szCs w:val="24"/>
        </w:rPr>
        <w:t>perusahaan</w:t>
      </w:r>
      <w:proofErr w:type="spellEnd"/>
      <w:r w:rsidR="00865F50" w:rsidRPr="0082290D">
        <w:rPr>
          <w:rFonts w:ascii="Times New Roman" w:hAnsi="Times New Roman" w:cs="Times New Roman"/>
          <w:sz w:val="20"/>
          <w:szCs w:val="24"/>
          <w:lang w:val="id-ID"/>
        </w:rPr>
        <w:t>.</w:t>
      </w:r>
      <w:proofErr w:type="gramEnd"/>
    </w:p>
    <w:p w:rsidR="00865F50" w:rsidRPr="0082290D" w:rsidRDefault="00865F50" w:rsidP="009D24A9">
      <w:pPr>
        <w:numPr>
          <w:ilvl w:val="0"/>
          <w:numId w:val="14"/>
        </w:numPr>
        <w:autoSpaceDE w:val="0"/>
        <w:autoSpaceDN w:val="0"/>
        <w:adjustRightInd w:val="0"/>
        <w:spacing w:after="0" w:line="240" w:lineRule="auto"/>
        <w:ind w:hanging="436"/>
        <w:rPr>
          <w:rFonts w:ascii="Times New Roman" w:hAnsi="Times New Roman" w:cs="Times New Roman"/>
          <w:color w:val="000000"/>
          <w:sz w:val="20"/>
          <w:szCs w:val="24"/>
          <w:lang w:val="id-ID" w:eastAsia="id-ID"/>
        </w:rPr>
      </w:pPr>
      <w:r w:rsidRPr="0082290D">
        <w:rPr>
          <w:rFonts w:ascii="Times New Roman" w:hAnsi="Times New Roman" w:cs="Times New Roman"/>
          <w:i/>
          <w:iCs/>
          <w:color w:val="000000"/>
          <w:sz w:val="20"/>
          <w:szCs w:val="24"/>
          <w:lang w:val="id-ID" w:eastAsia="id-ID"/>
        </w:rPr>
        <w:t xml:space="preserve">Return On Assets </w:t>
      </w:r>
      <w:r w:rsidRPr="0082290D">
        <w:rPr>
          <w:rFonts w:ascii="Times New Roman" w:hAnsi="Times New Roman" w:cs="Times New Roman"/>
          <w:color w:val="000000"/>
          <w:sz w:val="20"/>
          <w:szCs w:val="24"/>
          <w:lang w:val="id-ID" w:eastAsia="id-ID"/>
        </w:rPr>
        <w:t xml:space="preserve">(ROA) </w:t>
      </w:r>
    </w:p>
    <w:p w:rsidR="00865F50" w:rsidRPr="0082290D" w:rsidRDefault="00865F50" w:rsidP="009D24A9">
      <w:pPr>
        <w:autoSpaceDE w:val="0"/>
        <w:autoSpaceDN w:val="0"/>
        <w:adjustRightInd w:val="0"/>
        <w:spacing w:after="27" w:line="240" w:lineRule="auto"/>
        <w:ind w:left="709" w:firstLine="11"/>
        <w:rPr>
          <w:rFonts w:ascii="Times New Roman" w:hAnsi="Times New Roman" w:cs="Times New Roman"/>
          <w:sz w:val="20"/>
          <w:szCs w:val="24"/>
          <w:lang w:val="id-ID" w:eastAsia="id-ID"/>
        </w:rPr>
      </w:pPr>
      <w:r w:rsidRPr="0082290D">
        <w:rPr>
          <w:rFonts w:ascii="Times New Roman" w:hAnsi="Times New Roman" w:cs="Times New Roman"/>
          <w:i/>
          <w:iCs/>
          <w:color w:val="000000"/>
          <w:sz w:val="20"/>
          <w:szCs w:val="24"/>
          <w:lang w:val="id-ID" w:eastAsia="id-ID"/>
        </w:rPr>
        <w:t xml:space="preserve">Return On Assets </w:t>
      </w:r>
      <w:r w:rsidRPr="0082290D">
        <w:rPr>
          <w:rFonts w:ascii="Times New Roman" w:hAnsi="Times New Roman" w:cs="Times New Roman"/>
          <w:color w:val="000000"/>
          <w:sz w:val="20"/>
          <w:szCs w:val="24"/>
          <w:lang w:val="id-ID" w:eastAsia="id-ID"/>
        </w:rPr>
        <w:t>dirumuskan sebagai berikut (SE BI 13/30/DPNP 16 Desember 2011 ) :</w:t>
      </w:r>
    </w:p>
    <w:p w:rsidR="00865F50" w:rsidRPr="0082290D" w:rsidRDefault="00865F50" w:rsidP="00CE7C1F">
      <w:pPr>
        <w:spacing w:after="0" w:line="240" w:lineRule="auto"/>
        <w:ind w:left="709"/>
        <w:jc w:val="both"/>
        <w:rPr>
          <w:rFonts w:ascii="Times New Roman" w:hAnsi="Times New Roman" w:cs="Times New Roman"/>
          <w:sz w:val="20"/>
          <w:szCs w:val="24"/>
        </w:rPr>
      </w:pPr>
      <w:r w:rsidRPr="0082290D">
        <w:rPr>
          <w:rFonts w:ascii="Times New Roman" w:hAnsi="Times New Roman" w:cs="Times New Roman"/>
          <w:sz w:val="20"/>
          <w:szCs w:val="24"/>
          <w:lang w:val="id-ID"/>
        </w:rPr>
        <w:t>ROA</w:t>
      </w:r>
      <w:r w:rsidRPr="0082290D">
        <w:rPr>
          <w:rFonts w:ascii="Times New Roman" w:hAnsi="Times New Roman" w:cs="Times New Roman"/>
          <w:sz w:val="20"/>
          <w:szCs w:val="24"/>
          <w:lang w:val="sv-SE"/>
        </w:rPr>
        <w:t xml:space="preserve"> = </w:t>
      </w:r>
      <w:r w:rsidRPr="0082290D">
        <w:rPr>
          <w:rFonts w:ascii="Times New Roman" w:hAnsi="Times New Roman" w:cs="Times New Roman"/>
          <w:position w:val="-30"/>
          <w:sz w:val="20"/>
          <w:szCs w:val="24"/>
        </w:rPr>
        <w:object w:dxaOrig="3120" w:dyaOrig="680">
          <v:shape id="_x0000_i1028" type="#_x0000_t75" style="width:156pt;height:34.5pt" o:ole="">
            <v:imagedata r:id="rId11" o:title=""/>
          </v:shape>
          <o:OLEObject Type="Embed" ProgID="Equation.3" ShapeID="_x0000_i1028" DrawAspect="Content" ObjectID="_1470049888" r:id="rId12"/>
        </w:object>
      </w:r>
    </w:p>
    <w:p w:rsidR="00865F50" w:rsidRPr="0082290D" w:rsidRDefault="00865F50" w:rsidP="00CE7C1F">
      <w:pPr>
        <w:numPr>
          <w:ilvl w:val="0"/>
          <w:numId w:val="14"/>
        </w:numPr>
        <w:autoSpaceDE w:val="0"/>
        <w:autoSpaceDN w:val="0"/>
        <w:adjustRightInd w:val="0"/>
        <w:spacing w:after="0" w:line="240" w:lineRule="auto"/>
        <w:ind w:hanging="436"/>
        <w:rPr>
          <w:rFonts w:ascii="Times New Roman" w:hAnsi="Times New Roman" w:cs="Times New Roman"/>
          <w:color w:val="000000"/>
          <w:sz w:val="20"/>
          <w:szCs w:val="24"/>
          <w:lang w:val="id-ID" w:eastAsia="id-ID"/>
        </w:rPr>
      </w:pPr>
      <w:r w:rsidRPr="0082290D">
        <w:rPr>
          <w:rFonts w:ascii="Times New Roman" w:hAnsi="Times New Roman" w:cs="Times New Roman"/>
          <w:i/>
          <w:iCs/>
          <w:color w:val="000000"/>
          <w:sz w:val="20"/>
          <w:szCs w:val="24"/>
          <w:lang w:val="id-ID" w:eastAsia="id-ID"/>
        </w:rPr>
        <w:t xml:space="preserve">Return On Equity </w:t>
      </w:r>
      <w:r w:rsidRPr="0082290D">
        <w:rPr>
          <w:rFonts w:ascii="Times New Roman" w:hAnsi="Times New Roman" w:cs="Times New Roman"/>
          <w:color w:val="000000"/>
          <w:sz w:val="20"/>
          <w:szCs w:val="24"/>
          <w:lang w:val="id-ID" w:eastAsia="id-ID"/>
        </w:rPr>
        <w:t xml:space="preserve">(ROE) </w:t>
      </w:r>
    </w:p>
    <w:p w:rsidR="00865F50" w:rsidRPr="0082290D" w:rsidRDefault="00865F50" w:rsidP="00CE7C1F">
      <w:pPr>
        <w:autoSpaceDE w:val="0"/>
        <w:autoSpaceDN w:val="0"/>
        <w:adjustRightInd w:val="0"/>
        <w:spacing w:after="0" w:line="240" w:lineRule="auto"/>
        <w:ind w:left="709" w:firstLine="11"/>
        <w:rPr>
          <w:rFonts w:ascii="Times New Roman" w:hAnsi="Times New Roman" w:cs="Times New Roman"/>
          <w:sz w:val="20"/>
          <w:szCs w:val="24"/>
          <w:lang w:val="id-ID" w:eastAsia="id-ID"/>
        </w:rPr>
      </w:pPr>
      <w:r w:rsidRPr="0082290D">
        <w:rPr>
          <w:rFonts w:ascii="Times New Roman" w:hAnsi="Times New Roman" w:cs="Times New Roman"/>
          <w:i/>
          <w:iCs/>
          <w:color w:val="000000"/>
          <w:sz w:val="20"/>
          <w:szCs w:val="24"/>
          <w:lang w:val="id-ID" w:eastAsia="id-ID"/>
        </w:rPr>
        <w:t xml:space="preserve">Return On Equity </w:t>
      </w:r>
      <w:r w:rsidRPr="0082290D">
        <w:rPr>
          <w:rFonts w:ascii="Times New Roman" w:hAnsi="Times New Roman" w:cs="Times New Roman"/>
          <w:color w:val="000000"/>
          <w:sz w:val="20"/>
          <w:szCs w:val="24"/>
          <w:lang w:val="id-ID" w:eastAsia="id-ID"/>
        </w:rPr>
        <w:t>dirumuskan sebagai berikut (SE BI 13/30/DPNP 16 Desember 2011) :</w:t>
      </w:r>
    </w:p>
    <w:p w:rsidR="00865F50" w:rsidRPr="0082290D" w:rsidRDefault="00865F50" w:rsidP="00CE7C1F">
      <w:pPr>
        <w:tabs>
          <w:tab w:val="left" w:pos="4806"/>
        </w:tabs>
        <w:spacing w:after="0" w:line="240" w:lineRule="auto"/>
        <w:ind w:left="709"/>
        <w:jc w:val="both"/>
        <w:rPr>
          <w:rFonts w:ascii="Times New Roman" w:hAnsi="Times New Roman" w:cs="Times New Roman"/>
          <w:sz w:val="20"/>
          <w:szCs w:val="24"/>
        </w:rPr>
      </w:pPr>
      <w:r w:rsidRPr="0082290D">
        <w:rPr>
          <w:rFonts w:ascii="Times New Roman" w:hAnsi="Times New Roman" w:cs="Times New Roman"/>
          <w:sz w:val="20"/>
          <w:szCs w:val="24"/>
          <w:lang w:val="id-ID"/>
        </w:rPr>
        <w:t>ROE</w:t>
      </w:r>
      <w:r w:rsidRPr="0082290D">
        <w:rPr>
          <w:rFonts w:ascii="Times New Roman" w:hAnsi="Times New Roman" w:cs="Times New Roman"/>
          <w:sz w:val="20"/>
          <w:szCs w:val="24"/>
          <w:lang w:val="sv-SE"/>
        </w:rPr>
        <w:t xml:space="preserve"> = </w:t>
      </w:r>
      <w:r w:rsidRPr="0082290D">
        <w:rPr>
          <w:rFonts w:ascii="Times New Roman" w:hAnsi="Times New Roman" w:cs="Times New Roman"/>
          <w:position w:val="-30"/>
          <w:sz w:val="20"/>
          <w:szCs w:val="24"/>
        </w:rPr>
        <w:object w:dxaOrig="2880" w:dyaOrig="680">
          <v:shape id="_x0000_i1029" type="#_x0000_t75" style="width:2in;height:34.5pt" o:ole="">
            <v:imagedata r:id="rId13" o:title=""/>
          </v:shape>
          <o:OLEObject Type="Embed" ProgID="Equation.3" ShapeID="_x0000_i1029" DrawAspect="Content" ObjectID="_1470049889" r:id="rId14"/>
        </w:object>
      </w:r>
    </w:p>
    <w:p w:rsidR="00865F50" w:rsidRPr="0082290D" w:rsidRDefault="00865F50" w:rsidP="00CE7C1F">
      <w:pPr>
        <w:numPr>
          <w:ilvl w:val="0"/>
          <w:numId w:val="14"/>
        </w:numPr>
        <w:autoSpaceDE w:val="0"/>
        <w:autoSpaceDN w:val="0"/>
        <w:adjustRightInd w:val="0"/>
        <w:spacing w:after="0" w:line="240" w:lineRule="auto"/>
        <w:ind w:hanging="436"/>
        <w:rPr>
          <w:rFonts w:ascii="Times New Roman" w:hAnsi="Times New Roman" w:cs="Times New Roman"/>
          <w:color w:val="000000"/>
          <w:sz w:val="20"/>
          <w:szCs w:val="24"/>
          <w:lang w:val="id-ID" w:eastAsia="id-ID"/>
        </w:rPr>
      </w:pPr>
      <w:r w:rsidRPr="0082290D">
        <w:rPr>
          <w:rFonts w:ascii="Times New Roman" w:hAnsi="Times New Roman" w:cs="Times New Roman"/>
          <w:color w:val="000000"/>
          <w:sz w:val="20"/>
          <w:szCs w:val="24"/>
          <w:lang w:val="id-ID" w:eastAsia="id-ID"/>
        </w:rPr>
        <w:t>Beban O</w:t>
      </w:r>
      <w:r w:rsidRPr="0082290D">
        <w:rPr>
          <w:rFonts w:ascii="Times New Roman" w:hAnsi="Times New Roman" w:cs="Times New Roman"/>
          <w:color w:val="000000"/>
          <w:sz w:val="20"/>
          <w:szCs w:val="24"/>
          <w:lang w:eastAsia="id-ID"/>
        </w:rPr>
        <w:t>p</w:t>
      </w:r>
      <w:r w:rsidRPr="0082290D">
        <w:rPr>
          <w:rFonts w:ascii="Times New Roman" w:hAnsi="Times New Roman" w:cs="Times New Roman"/>
          <w:color w:val="000000"/>
          <w:sz w:val="20"/>
          <w:szCs w:val="24"/>
          <w:lang w:val="id-ID" w:eastAsia="id-ID"/>
        </w:rPr>
        <w:t xml:space="preserve">erasi / Pendapatan Operasi (BOPO) </w:t>
      </w:r>
    </w:p>
    <w:p w:rsidR="00865F50" w:rsidRPr="0082290D" w:rsidRDefault="00865F50" w:rsidP="00CE7C1F">
      <w:pPr>
        <w:autoSpaceDE w:val="0"/>
        <w:autoSpaceDN w:val="0"/>
        <w:adjustRightInd w:val="0"/>
        <w:spacing w:after="0" w:line="240" w:lineRule="auto"/>
        <w:ind w:left="709" w:firstLine="11"/>
        <w:rPr>
          <w:rFonts w:ascii="Times New Roman" w:hAnsi="Times New Roman" w:cs="Times New Roman"/>
          <w:color w:val="000000"/>
          <w:sz w:val="20"/>
          <w:szCs w:val="24"/>
          <w:lang w:val="id-ID" w:eastAsia="id-ID"/>
        </w:rPr>
      </w:pPr>
      <w:r w:rsidRPr="0082290D">
        <w:rPr>
          <w:rFonts w:ascii="Times New Roman" w:hAnsi="Times New Roman" w:cs="Times New Roman"/>
          <w:color w:val="000000"/>
          <w:sz w:val="20"/>
          <w:szCs w:val="24"/>
          <w:lang w:val="id-ID" w:eastAsia="id-ID"/>
        </w:rPr>
        <w:t>Rasio BO/PO dirumuskan sebagai berkut (SE BI 13/30/DPNP 16 Desember 2011) :</w:t>
      </w:r>
    </w:p>
    <w:p w:rsidR="00865F50" w:rsidRPr="0082290D" w:rsidRDefault="00865F50" w:rsidP="00CE7C1F">
      <w:pPr>
        <w:spacing w:after="0" w:line="240" w:lineRule="auto"/>
        <w:ind w:left="709"/>
        <w:jc w:val="both"/>
        <w:rPr>
          <w:rFonts w:ascii="Times New Roman" w:hAnsi="Times New Roman" w:cs="Times New Roman"/>
          <w:sz w:val="20"/>
          <w:szCs w:val="24"/>
        </w:rPr>
      </w:pPr>
      <w:r w:rsidRPr="0082290D">
        <w:rPr>
          <w:rFonts w:ascii="Times New Roman" w:hAnsi="Times New Roman" w:cs="Times New Roman"/>
          <w:position w:val="-30"/>
          <w:sz w:val="20"/>
          <w:szCs w:val="24"/>
        </w:rPr>
        <w:object w:dxaOrig="3940" w:dyaOrig="680">
          <v:shape id="_x0000_i1030" type="#_x0000_t75" style="width:196.5pt;height:34.5pt" o:ole="">
            <v:imagedata r:id="rId15" o:title=""/>
          </v:shape>
          <o:OLEObject Type="Embed" ProgID="Equation.3" ShapeID="_x0000_i1030" DrawAspect="Content" ObjectID="_1470049890" r:id="rId16"/>
        </w:object>
      </w:r>
    </w:p>
    <w:p w:rsidR="00CE7C1F" w:rsidRPr="0082290D" w:rsidRDefault="00865F50" w:rsidP="00CE7C1F">
      <w:pPr>
        <w:spacing w:after="0" w:line="240" w:lineRule="auto"/>
        <w:jc w:val="both"/>
        <w:rPr>
          <w:rFonts w:ascii="Times New Roman" w:hAnsi="Times New Roman" w:cs="Times New Roman"/>
          <w:sz w:val="20"/>
          <w:szCs w:val="24"/>
        </w:rPr>
      </w:pPr>
      <w:r w:rsidRPr="0082290D">
        <w:rPr>
          <w:rFonts w:ascii="Times New Roman" w:hAnsi="Times New Roman" w:cs="Times New Roman"/>
          <w:sz w:val="20"/>
          <w:szCs w:val="24"/>
        </w:rPr>
        <w:lastRenderedPageBreak/>
        <w:tab/>
      </w:r>
      <w:proofErr w:type="spellStart"/>
      <w:r w:rsidRPr="0082290D">
        <w:rPr>
          <w:rFonts w:ascii="Times New Roman" w:hAnsi="Times New Roman" w:cs="Times New Roman"/>
          <w:sz w:val="20"/>
          <w:szCs w:val="24"/>
        </w:rPr>
        <w:t>Berikut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dilampirkan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Laporan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keuangan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rugi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neraca</w:t>
      </w:r>
      <w:proofErr w:type="spellEnd"/>
      <w:r w:rsidRPr="0082290D">
        <w:rPr>
          <w:rFonts w:ascii="Times New Roman" w:hAnsi="Times New Roman" w:cs="Times New Roman"/>
          <w:sz w:val="20"/>
          <w:szCs w:val="24"/>
        </w:rPr>
        <w:t xml:space="preserve"> PT. Bank </w:t>
      </w:r>
      <w:proofErr w:type="spellStart"/>
      <w:r w:rsidRPr="0082290D">
        <w:rPr>
          <w:rFonts w:ascii="Times New Roman" w:hAnsi="Times New Roman" w:cs="Times New Roman"/>
          <w:sz w:val="20"/>
          <w:szCs w:val="24"/>
        </w:rPr>
        <w:t>Mandiri</w:t>
      </w:r>
      <w:proofErr w:type="spellEnd"/>
      <w:r w:rsidRPr="0082290D">
        <w:rPr>
          <w:rFonts w:ascii="Times New Roman" w:hAnsi="Times New Roman" w:cs="Times New Roman"/>
          <w:sz w:val="20"/>
          <w:szCs w:val="24"/>
        </w:rPr>
        <w:t xml:space="preserve"> Cab RSU </w:t>
      </w:r>
      <w:proofErr w:type="spellStart"/>
      <w:r w:rsidRPr="0082290D">
        <w:rPr>
          <w:rFonts w:ascii="Times New Roman" w:hAnsi="Times New Roman" w:cs="Times New Roman"/>
          <w:sz w:val="20"/>
          <w:szCs w:val="24"/>
        </w:rPr>
        <w:t>Palmebang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Periode</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2011-2013</w:t>
      </w:r>
      <w:r w:rsidR="00CE7C1F" w:rsidRPr="0082290D">
        <w:rPr>
          <w:rFonts w:ascii="Times New Roman" w:hAnsi="Times New Roman" w:cs="Times New Roman"/>
          <w:sz w:val="20"/>
          <w:szCs w:val="24"/>
        </w:rPr>
        <w:t>:</w:t>
      </w:r>
    </w:p>
    <w:p w:rsidR="00865F50" w:rsidRPr="0082290D" w:rsidRDefault="00865F50" w:rsidP="00865F50">
      <w:pPr>
        <w:spacing w:after="0" w:line="240" w:lineRule="auto"/>
        <w:jc w:val="center"/>
        <w:rPr>
          <w:rFonts w:ascii="Times New Roman" w:hAnsi="Times New Roman" w:cs="Times New Roman"/>
          <w:b/>
          <w:sz w:val="20"/>
          <w:szCs w:val="24"/>
        </w:rPr>
      </w:pPr>
      <w:proofErr w:type="spellStart"/>
      <w:r w:rsidRPr="0082290D">
        <w:rPr>
          <w:rFonts w:ascii="Times New Roman" w:hAnsi="Times New Roman" w:cs="Times New Roman"/>
          <w:b/>
          <w:sz w:val="20"/>
          <w:szCs w:val="24"/>
        </w:rPr>
        <w:t>Laporan</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Laba</w:t>
      </w:r>
      <w:proofErr w:type="spellEnd"/>
      <w:r w:rsidRPr="0082290D">
        <w:rPr>
          <w:rFonts w:ascii="Times New Roman" w:hAnsi="Times New Roman" w:cs="Times New Roman"/>
          <w:b/>
          <w:sz w:val="20"/>
          <w:szCs w:val="24"/>
        </w:rPr>
        <w:t xml:space="preserve"> / </w:t>
      </w:r>
      <w:proofErr w:type="spellStart"/>
      <w:r w:rsidRPr="0082290D">
        <w:rPr>
          <w:rFonts w:ascii="Times New Roman" w:hAnsi="Times New Roman" w:cs="Times New Roman"/>
          <w:b/>
          <w:sz w:val="20"/>
          <w:szCs w:val="24"/>
        </w:rPr>
        <w:t>Rugi</w:t>
      </w:r>
      <w:proofErr w:type="spellEnd"/>
    </w:p>
    <w:p w:rsidR="00865F50" w:rsidRPr="0082290D" w:rsidRDefault="00865F50" w:rsidP="00865F50">
      <w:pPr>
        <w:spacing w:after="0" w:line="240" w:lineRule="auto"/>
        <w:jc w:val="center"/>
        <w:rPr>
          <w:rFonts w:ascii="Times New Roman" w:hAnsi="Times New Roman" w:cs="Times New Roman"/>
          <w:b/>
          <w:sz w:val="20"/>
          <w:szCs w:val="24"/>
        </w:rPr>
      </w:pPr>
      <w:r w:rsidRPr="0082290D">
        <w:rPr>
          <w:rFonts w:ascii="Times New Roman" w:hAnsi="Times New Roman" w:cs="Times New Roman"/>
          <w:b/>
          <w:sz w:val="20"/>
          <w:szCs w:val="24"/>
        </w:rPr>
        <w:t xml:space="preserve">PT. Bank </w:t>
      </w:r>
      <w:proofErr w:type="spellStart"/>
      <w:r w:rsidRPr="0082290D">
        <w:rPr>
          <w:rFonts w:ascii="Times New Roman" w:hAnsi="Times New Roman" w:cs="Times New Roman"/>
          <w:b/>
          <w:sz w:val="20"/>
          <w:szCs w:val="24"/>
        </w:rPr>
        <w:t>Mandiri</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Cabang</w:t>
      </w:r>
      <w:proofErr w:type="spellEnd"/>
      <w:r w:rsidRPr="0082290D">
        <w:rPr>
          <w:rFonts w:ascii="Times New Roman" w:hAnsi="Times New Roman" w:cs="Times New Roman"/>
          <w:b/>
          <w:sz w:val="20"/>
          <w:szCs w:val="24"/>
        </w:rPr>
        <w:t xml:space="preserve"> RSU Palembang</w:t>
      </w:r>
    </w:p>
    <w:p w:rsidR="00865F50" w:rsidRPr="00C50CE1" w:rsidRDefault="00865F50" w:rsidP="00865F50">
      <w:pPr>
        <w:spacing w:after="0" w:line="240" w:lineRule="auto"/>
        <w:jc w:val="center"/>
        <w:rPr>
          <w:rFonts w:ascii="Times New Roman" w:hAnsi="Times New Roman" w:cs="Times New Roman"/>
          <w:b/>
          <w:sz w:val="24"/>
          <w:szCs w:val="24"/>
        </w:rPr>
      </w:pPr>
    </w:p>
    <w:tbl>
      <w:tblPr>
        <w:tblStyle w:val="TableGrid"/>
        <w:tblW w:w="0" w:type="auto"/>
        <w:tblLook w:val="04A0"/>
      </w:tblPr>
      <w:tblGrid>
        <w:gridCol w:w="1787"/>
        <w:gridCol w:w="1782"/>
        <w:gridCol w:w="1782"/>
        <w:gridCol w:w="1782"/>
      </w:tblGrid>
      <w:tr w:rsidR="00865F50" w:rsidRPr="0082290D" w:rsidTr="0056141C">
        <w:tc>
          <w:tcPr>
            <w:tcW w:w="2394" w:type="dxa"/>
          </w:tcPr>
          <w:p w:rsidR="00865F50" w:rsidRPr="0082290D" w:rsidRDefault="00865F50" w:rsidP="0056141C">
            <w:pPr>
              <w:rPr>
                <w:rFonts w:ascii="Times New Roman" w:hAnsi="Times New Roman" w:cs="Times New Roman"/>
                <w:b/>
                <w:sz w:val="20"/>
                <w:szCs w:val="24"/>
              </w:rPr>
            </w:pPr>
            <w:proofErr w:type="spellStart"/>
            <w:r w:rsidRPr="0082290D">
              <w:rPr>
                <w:rFonts w:ascii="Times New Roman" w:hAnsi="Times New Roman" w:cs="Times New Roman"/>
                <w:b/>
                <w:sz w:val="20"/>
                <w:szCs w:val="24"/>
              </w:rPr>
              <w:t>Keterangan</w:t>
            </w:r>
            <w:proofErr w:type="spellEnd"/>
            <w:r w:rsidRPr="0082290D">
              <w:rPr>
                <w:rFonts w:ascii="Times New Roman" w:hAnsi="Times New Roman" w:cs="Times New Roman"/>
                <w:b/>
                <w:sz w:val="20"/>
                <w:szCs w:val="24"/>
              </w:rPr>
              <w:t xml:space="preserve"> </w:t>
            </w:r>
          </w:p>
        </w:tc>
        <w:tc>
          <w:tcPr>
            <w:tcW w:w="2394" w:type="dxa"/>
          </w:tcPr>
          <w:p w:rsidR="00865F50" w:rsidRPr="0082290D" w:rsidRDefault="00865F50" w:rsidP="0056141C">
            <w:pPr>
              <w:rPr>
                <w:rFonts w:ascii="Times New Roman" w:hAnsi="Times New Roman" w:cs="Times New Roman"/>
                <w:b/>
                <w:sz w:val="20"/>
                <w:szCs w:val="24"/>
              </w:rPr>
            </w:pPr>
            <w:r w:rsidRPr="0082290D">
              <w:rPr>
                <w:rFonts w:ascii="Times New Roman" w:hAnsi="Times New Roman" w:cs="Times New Roman"/>
                <w:b/>
                <w:sz w:val="20"/>
                <w:szCs w:val="24"/>
              </w:rPr>
              <w:t>2011</w:t>
            </w:r>
          </w:p>
        </w:tc>
        <w:tc>
          <w:tcPr>
            <w:tcW w:w="2394" w:type="dxa"/>
          </w:tcPr>
          <w:p w:rsidR="00865F50" w:rsidRPr="0082290D" w:rsidRDefault="00865F50" w:rsidP="0056141C">
            <w:pPr>
              <w:rPr>
                <w:rFonts w:ascii="Times New Roman" w:hAnsi="Times New Roman" w:cs="Times New Roman"/>
                <w:b/>
                <w:sz w:val="20"/>
                <w:szCs w:val="24"/>
              </w:rPr>
            </w:pPr>
            <w:r w:rsidRPr="0082290D">
              <w:rPr>
                <w:rFonts w:ascii="Times New Roman" w:hAnsi="Times New Roman" w:cs="Times New Roman"/>
                <w:b/>
                <w:sz w:val="20"/>
                <w:szCs w:val="24"/>
              </w:rPr>
              <w:t>2012</w:t>
            </w:r>
          </w:p>
        </w:tc>
        <w:tc>
          <w:tcPr>
            <w:tcW w:w="2394" w:type="dxa"/>
          </w:tcPr>
          <w:p w:rsidR="00865F50" w:rsidRPr="0082290D" w:rsidRDefault="00865F50" w:rsidP="0056141C">
            <w:pPr>
              <w:rPr>
                <w:rFonts w:ascii="Times New Roman" w:hAnsi="Times New Roman" w:cs="Times New Roman"/>
                <w:b/>
                <w:sz w:val="20"/>
                <w:szCs w:val="24"/>
              </w:rPr>
            </w:pPr>
            <w:r w:rsidRPr="0082290D">
              <w:rPr>
                <w:rFonts w:ascii="Times New Roman" w:hAnsi="Times New Roman" w:cs="Times New Roman"/>
                <w:b/>
                <w:sz w:val="20"/>
                <w:szCs w:val="24"/>
              </w:rPr>
              <w:t>2013</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Penjualan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Bersih</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318.500.000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419.475.000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424.343.000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r w:rsidRPr="0082290D">
              <w:rPr>
                <w:rFonts w:ascii="Times New Roman" w:hAnsi="Times New Roman" w:cs="Times New Roman"/>
                <w:sz w:val="20"/>
                <w:szCs w:val="24"/>
              </w:rPr>
              <w:t>HPP</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187.525.000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253.159.000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256.323.000</w:t>
            </w:r>
          </w:p>
        </w:tc>
      </w:tr>
      <w:tr w:rsidR="00865F50" w:rsidRPr="0082290D" w:rsidTr="0056141C">
        <w:tc>
          <w:tcPr>
            <w:tcW w:w="2394" w:type="dxa"/>
          </w:tcPr>
          <w:p w:rsidR="00865F50" w:rsidRPr="0082290D" w:rsidRDefault="00865F50" w:rsidP="0056141C">
            <w:pPr>
              <w:rPr>
                <w:rFonts w:ascii="Times New Roman" w:hAnsi="Times New Roman" w:cs="Times New Roman"/>
                <w:b/>
                <w:sz w:val="20"/>
                <w:szCs w:val="24"/>
              </w:rPr>
            </w:pPr>
            <w:proofErr w:type="spellStart"/>
            <w:r w:rsidRPr="0082290D">
              <w:rPr>
                <w:rFonts w:ascii="Times New Roman" w:hAnsi="Times New Roman" w:cs="Times New Roman"/>
                <w:b/>
                <w:sz w:val="20"/>
                <w:szCs w:val="24"/>
              </w:rPr>
              <w:t>Laba</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Kotor</w:t>
            </w:r>
            <w:proofErr w:type="spellEnd"/>
          </w:p>
        </w:tc>
        <w:tc>
          <w:tcPr>
            <w:tcW w:w="2394" w:type="dxa"/>
          </w:tcPr>
          <w:p w:rsidR="00865F50" w:rsidRPr="0082290D" w:rsidRDefault="00865F50" w:rsidP="0056141C">
            <w:pPr>
              <w:jc w:val="right"/>
              <w:rPr>
                <w:rFonts w:ascii="Times New Roman" w:hAnsi="Times New Roman" w:cs="Times New Roman"/>
                <w:b/>
                <w:sz w:val="20"/>
                <w:szCs w:val="24"/>
              </w:rPr>
            </w:pPr>
            <w:r w:rsidRPr="0082290D">
              <w:rPr>
                <w:rFonts w:ascii="Times New Roman" w:hAnsi="Times New Roman" w:cs="Times New Roman"/>
                <w:b/>
                <w:sz w:val="20"/>
                <w:szCs w:val="24"/>
              </w:rPr>
              <w:t>130.975.000</w:t>
            </w:r>
          </w:p>
        </w:tc>
        <w:tc>
          <w:tcPr>
            <w:tcW w:w="2394" w:type="dxa"/>
          </w:tcPr>
          <w:p w:rsidR="00865F50" w:rsidRPr="0082290D" w:rsidRDefault="00865F50" w:rsidP="0056141C">
            <w:pPr>
              <w:jc w:val="right"/>
              <w:rPr>
                <w:rFonts w:ascii="Times New Roman" w:hAnsi="Times New Roman" w:cs="Times New Roman"/>
                <w:b/>
                <w:sz w:val="20"/>
                <w:szCs w:val="24"/>
              </w:rPr>
            </w:pPr>
            <w:r w:rsidRPr="0082290D">
              <w:rPr>
                <w:rFonts w:ascii="Times New Roman" w:hAnsi="Times New Roman" w:cs="Times New Roman"/>
                <w:b/>
                <w:sz w:val="20"/>
                <w:szCs w:val="24"/>
              </w:rPr>
              <w:t>166.316.000</w:t>
            </w:r>
          </w:p>
        </w:tc>
        <w:tc>
          <w:tcPr>
            <w:tcW w:w="2394" w:type="dxa"/>
          </w:tcPr>
          <w:p w:rsidR="00865F50" w:rsidRPr="0082290D" w:rsidRDefault="00865F50" w:rsidP="0056141C">
            <w:pPr>
              <w:jc w:val="right"/>
              <w:rPr>
                <w:rFonts w:ascii="Times New Roman" w:hAnsi="Times New Roman" w:cs="Times New Roman"/>
                <w:b/>
                <w:sz w:val="20"/>
                <w:szCs w:val="24"/>
              </w:rPr>
            </w:pPr>
            <w:r w:rsidRPr="0082290D">
              <w:rPr>
                <w:rFonts w:ascii="Times New Roman" w:hAnsi="Times New Roman" w:cs="Times New Roman"/>
                <w:b/>
                <w:sz w:val="20"/>
                <w:szCs w:val="24"/>
              </w:rPr>
              <w:t>168.020.000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Biaya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Operasional</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53.080.000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57.263.000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57.604.000</w:t>
            </w:r>
          </w:p>
        </w:tc>
      </w:tr>
      <w:tr w:rsidR="00865F50" w:rsidRPr="0082290D" w:rsidTr="0056141C">
        <w:tc>
          <w:tcPr>
            <w:tcW w:w="2394" w:type="dxa"/>
          </w:tcPr>
          <w:p w:rsidR="00865F50" w:rsidRPr="0082290D" w:rsidRDefault="00865F50" w:rsidP="0056141C">
            <w:pPr>
              <w:rPr>
                <w:rFonts w:ascii="Times New Roman" w:hAnsi="Times New Roman" w:cs="Times New Roman"/>
                <w:b/>
                <w:sz w:val="20"/>
                <w:szCs w:val="24"/>
              </w:rPr>
            </w:pPr>
            <w:proofErr w:type="spellStart"/>
            <w:r w:rsidRPr="0082290D">
              <w:rPr>
                <w:rFonts w:ascii="Times New Roman" w:hAnsi="Times New Roman" w:cs="Times New Roman"/>
                <w:b/>
                <w:sz w:val="20"/>
                <w:szCs w:val="24"/>
              </w:rPr>
              <w:t>Laba</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Operasional</w:t>
            </w:r>
            <w:proofErr w:type="spellEnd"/>
          </w:p>
        </w:tc>
        <w:tc>
          <w:tcPr>
            <w:tcW w:w="2394" w:type="dxa"/>
          </w:tcPr>
          <w:p w:rsidR="00865F50" w:rsidRPr="0082290D" w:rsidRDefault="00865F50" w:rsidP="0056141C">
            <w:pPr>
              <w:jc w:val="right"/>
              <w:rPr>
                <w:rFonts w:ascii="Times New Roman" w:hAnsi="Times New Roman" w:cs="Times New Roman"/>
                <w:b/>
                <w:sz w:val="20"/>
                <w:szCs w:val="24"/>
              </w:rPr>
            </w:pPr>
            <w:r w:rsidRPr="0082290D">
              <w:rPr>
                <w:rFonts w:ascii="Times New Roman" w:hAnsi="Times New Roman" w:cs="Times New Roman"/>
                <w:b/>
                <w:sz w:val="20"/>
                <w:szCs w:val="24"/>
              </w:rPr>
              <w:t>77.895.000</w:t>
            </w:r>
          </w:p>
        </w:tc>
        <w:tc>
          <w:tcPr>
            <w:tcW w:w="2394" w:type="dxa"/>
          </w:tcPr>
          <w:p w:rsidR="00865F50" w:rsidRPr="0082290D" w:rsidRDefault="00865F50" w:rsidP="0056141C">
            <w:pPr>
              <w:jc w:val="right"/>
              <w:rPr>
                <w:rFonts w:ascii="Times New Roman" w:hAnsi="Times New Roman" w:cs="Times New Roman"/>
                <w:b/>
                <w:sz w:val="20"/>
                <w:szCs w:val="24"/>
              </w:rPr>
            </w:pPr>
            <w:r w:rsidRPr="0082290D">
              <w:rPr>
                <w:rFonts w:ascii="Times New Roman" w:hAnsi="Times New Roman" w:cs="Times New Roman"/>
                <w:b/>
                <w:sz w:val="20"/>
                <w:szCs w:val="24"/>
              </w:rPr>
              <w:t>109.053.000</w:t>
            </w:r>
          </w:p>
        </w:tc>
        <w:tc>
          <w:tcPr>
            <w:tcW w:w="2394" w:type="dxa"/>
          </w:tcPr>
          <w:p w:rsidR="00865F50" w:rsidRPr="0082290D" w:rsidRDefault="00865F50" w:rsidP="0056141C">
            <w:pPr>
              <w:jc w:val="right"/>
              <w:rPr>
                <w:rFonts w:ascii="Times New Roman" w:hAnsi="Times New Roman" w:cs="Times New Roman"/>
                <w:b/>
                <w:sz w:val="20"/>
                <w:szCs w:val="24"/>
              </w:rPr>
            </w:pPr>
            <w:r w:rsidRPr="0082290D">
              <w:rPr>
                <w:rFonts w:ascii="Times New Roman" w:hAnsi="Times New Roman" w:cs="Times New Roman"/>
                <w:b/>
                <w:sz w:val="20"/>
                <w:szCs w:val="24"/>
              </w:rPr>
              <w:t>110.416.000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Biaya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Penyusutan</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(15.200.000)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(15.200.000)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(15.200.000)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Biaya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Bunga</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8.750.000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15.742.000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14.551.000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Sebelum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Pajak</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53.945.000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78.111.000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80.665.000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Pajak</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11.497.000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12.917.000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13.780.000</w:t>
            </w:r>
          </w:p>
        </w:tc>
      </w:tr>
      <w:tr w:rsidR="00865F50" w:rsidRPr="0082290D" w:rsidTr="0056141C">
        <w:tc>
          <w:tcPr>
            <w:tcW w:w="2394" w:type="dxa"/>
          </w:tcPr>
          <w:p w:rsidR="00865F50" w:rsidRPr="0082290D" w:rsidRDefault="00865F50" w:rsidP="0056141C">
            <w:pPr>
              <w:rPr>
                <w:rFonts w:ascii="Times New Roman" w:hAnsi="Times New Roman" w:cs="Times New Roman"/>
                <w:sz w:val="20"/>
                <w:szCs w:val="24"/>
              </w:rPr>
            </w:pP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Bersih</w:t>
            </w:r>
            <w:proofErr w:type="spellEnd"/>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42.448.000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65.194.000</w:t>
            </w:r>
          </w:p>
        </w:tc>
        <w:tc>
          <w:tcPr>
            <w:tcW w:w="2394" w:type="dxa"/>
          </w:tcPr>
          <w:p w:rsidR="00865F50" w:rsidRPr="0082290D" w:rsidRDefault="00865F50" w:rsidP="0056141C">
            <w:pPr>
              <w:jc w:val="right"/>
              <w:rPr>
                <w:rFonts w:ascii="Times New Roman" w:hAnsi="Times New Roman" w:cs="Times New Roman"/>
                <w:sz w:val="20"/>
                <w:szCs w:val="24"/>
              </w:rPr>
            </w:pPr>
            <w:r w:rsidRPr="0082290D">
              <w:rPr>
                <w:rFonts w:ascii="Times New Roman" w:hAnsi="Times New Roman" w:cs="Times New Roman"/>
                <w:sz w:val="20"/>
                <w:szCs w:val="24"/>
              </w:rPr>
              <w:t>66.885.000</w:t>
            </w:r>
          </w:p>
        </w:tc>
      </w:tr>
    </w:tbl>
    <w:p w:rsidR="00865F50" w:rsidRPr="0082290D" w:rsidRDefault="00865F50" w:rsidP="00CE7C1F">
      <w:pPr>
        <w:jc w:val="both"/>
        <w:rPr>
          <w:rFonts w:ascii="Times New Roman" w:hAnsi="Times New Roman" w:cs="Times New Roman"/>
          <w:b/>
          <w:sz w:val="20"/>
          <w:szCs w:val="24"/>
        </w:rPr>
      </w:pPr>
      <w:proofErr w:type="spellStart"/>
      <w:proofErr w:type="gramStart"/>
      <w:r w:rsidRPr="0082290D">
        <w:rPr>
          <w:rFonts w:ascii="Times New Roman" w:hAnsi="Times New Roman" w:cs="Times New Roman"/>
          <w:b/>
          <w:sz w:val="20"/>
          <w:szCs w:val="24"/>
        </w:rPr>
        <w:t>Sumber</w:t>
      </w:r>
      <w:proofErr w:type="spellEnd"/>
      <w:r w:rsidRPr="0082290D">
        <w:rPr>
          <w:rFonts w:ascii="Times New Roman" w:hAnsi="Times New Roman" w:cs="Times New Roman"/>
          <w:b/>
          <w:sz w:val="20"/>
          <w:szCs w:val="24"/>
        </w:rPr>
        <w:t xml:space="preserve"> :</w:t>
      </w:r>
      <w:proofErr w:type="gramEnd"/>
      <w:r w:rsidRPr="0082290D">
        <w:rPr>
          <w:rFonts w:ascii="Times New Roman" w:hAnsi="Times New Roman" w:cs="Times New Roman"/>
          <w:b/>
          <w:sz w:val="20"/>
          <w:szCs w:val="24"/>
        </w:rPr>
        <w:t xml:space="preserve"> Bank </w:t>
      </w:r>
      <w:proofErr w:type="spellStart"/>
      <w:r w:rsidRPr="0082290D">
        <w:rPr>
          <w:rFonts w:ascii="Times New Roman" w:hAnsi="Times New Roman" w:cs="Times New Roman"/>
          <w:b/>
          <w:sz w:val="20"/>
          <w:szCs w:val="24"/>
        </w:rPr>
        <w:t>Mandiri</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Cabang</w:t>
      </w:r>
      <w:proofErr w:type="spellEnd"/>
      <w:r w:rsidRPr="0082290D">
        <w:rPr>
          <w:rFonts w:ascii="Times New Roman" w:hAnsi="Times New Roman" w:cs="Times New Roman"/>
          <w:b/>
          <w:sz w:val="20"/>
          <w:szCs w:val="24"/>
        </w:rPr>
        <w:t xml:space="preserve"> R</w:t>
      </w:r>
      <w:r w:rsidR="00CE7C1F" w:rsidRPr="0082290D">
        <w:rPr>
          <w:rFonts w:ascii="Times New Roman" w:hAnsi="Times New Roman" w:cs="Times New Roman"/>
          <w:b/>
          <w:sz w:val="20"/>
          <w:szCs w:val="24"/>
        </w:rPr>
        <w:t>SU</w:t>
      </w:r>
    </w:p>
    <w:p w:rsidR="00865F50" w:rsidRPr="0082290D" w:rsidRDefault="00865F50" w:rsidP="00865F50">
      <w:pPr>
        <w:spacing w:after="0"/>
        <w:jc w:val="center"/>
        <w:rPr>
          <w:rFonts w:ascii="Times New Roman" w:hAnsi="Times New Roman" w:cs="Times New Roman"/>
          <w:b/>
          <w:sz w:val="20"/>
          <w:szCs w:val="24"/>
        </w:rPr>
      </w:pPr>
      <w:proofErr w:type="spellStart"/>
      <w:r w:rsidRPr="0082290D">
        <w:rPr>
          <w:rFonts w:ascii="Times New Roman" w:hAnsi="Times New Roman" w:cs="Times New Roman"/>
          <w:b/>
          <w:sz w:val="20"/>
          <w:szCs w:val="24"/>
        </w:rPr>
        <w:t>Neraca</w:t>
      </w:r>
      <w:proofErr w:type="spellEnd"/>
    </w:p>
    <w:p w:rsidR="00865F50" w:rsidRPr="0082290D" w:rsidRDefault="00865F50" w:rsidP="00865F50">
      <w:pPr>
        <w:spacing w:after="0"/>
        <w:jc w:val="center"/>
        <w:rPr>
          <w:rFonts w:ascii="Times New Roman" w:hAnsi="Times New Roman" w:cs="Times New Roman"/>
          <w:b/>
          <w:sz w:val="20"/>
          <w:szCs w:val="24"/>
        </w:rPr>
      </w:pPr>
      <w:r w:rsidRPr="0082290D">
        <w:rPr>
          <w:rFonts w:ascii="Times New Roman" w:hAnsi="Times New Roman" w:cs="Times New Roman"/>
          <w:b/>
          <w:sz w:val="20"/>
          <w:szCs w:val="24"/>
        </w:rPr>
        <w:t xml:space="preserve">PT. Bank </w:t>
      </w:r>
      <w:proofErr w:type="spellStart"/>
      <w:r w:rsidRPr="0082290D">
        <w:rPr>
          <w:rFonts w:ascii="Times New Roman" w:hAnsi="Times New Roman" w:cs="Times New Roman"/>
          <w:b/>
          <w:sz w:val="20"/>
          <w:szCs w:val="24"/>
        </w:rPr>
        <w:t>Mandiri</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Cabang</w:t>
      </w:r>
      <w:proofErr w:type="spellEnd"/>
      <w:r w:rsidRPr="0082290D">
        <w:rPr>
          <w:rFonts w:ascii="Times New Roman" w:hAnsi="Times New Roman" w:cs="Times New Roman"/>
          <w:b/>
          <w:sz w:val="20"/>
          <w:szCs w:val="24"/>
        </w:rPr>
        <w:t xml:space="preserve"> RSU Palembang</w:t>
      </w:r>
    </w:p>
    <w:p w:rsidR="00865F50" w:rsidRPr="0082290D" w:rsidRDefault="00865F50" w:rsidP="00865F50">
      <w:pPr>
        <w:spacing w:after="0"/>
        <w:jc w:val="center"/>
        <w:rPr>
          <w:rFonts w:ascii="Times New Roman" w:hAnsi="Times New Roman" w:cs="Times New Roman"/>
          <w:b/>
          <w:sz w:val="20"/>
          <w:szCs w:val="24"/>
        </w:rPr>
      </w:pPr>
    </w:p>
    <w:tbl>
      <w:tblPr>
        <w:tblStyle w:val="TableGrid"/>
        <w:tblW w:w="0" w:type="auto"/>
        <w:tblLook w:val="04A0"/>
      </w:tblPr>
      <w:tblGrid>
        <w:gridCol w:w="1961"/>
        <w:gridCol w:w="1720"/>
        <w:gridCol w:w="1726"/>
        <w:gridCol w:w="1726"/>
      </w:tblGrid>
      <w:tr w:rsidR="00865F50" w:rsidRPr="0082290D" w:rsidTr="0056141C">
        <w:tc>
          <w:tcPr>
            <w:tcW w:w="2394" w:type="dxa"/>
          </w:tcPr>
          <w:p w:rsidR="00865F50" w:rsidRPr="0082290D" w:rsidRDefault="00865F50" w:rsidP="0056141C">
            <w:pPr>
              <w:rPr>
                <w:b/>
                <w:sz w:val="18"/>
              </w:rPr>
            </w:pPr>
            <w:proofErr w:type="spellStart"/>
            <w:r w:rsidRPr="0082290D">
              <w:rPr>
                <w:b/>
                <w:sz w:val="18"/>
              </w:rPr>
              <w:t>Keterangan</w:t>
            </w:r>
            <w:proofErr w:type="spellEnd"/>
          </w:p>
        </w:tc>
        <w:tc>
          <w:tcPr>
            <w:tcW w:w="2394" w:type="dxa"/>
          </w:tcPr>
          <w:p w:rsidR="00865F50" w:rsidRPr="0082290D" w:rsidRDefault="00865F50" w:rsidP="0056141C">
            <w:pPr>
              <w:rPr>
                <w:b/>
                <w:sz w:val="18"/>
              </w:rPr>
            </w:pPr>
            <w:r w:rsidRPr="0082290D">
              <w:rPr>
                <w:b/>
                <w:sz w:val="18"/>
              </w:rPr>
              <w:t xml:space="preserve">31 </w:t>
            </w:r>
            <w:proofErr w:type="spellStart"/>
            <w:r w:rsidRPr="0082290D">
              <w:rPr>
                <w:b/>
                <w:sz w:val="18"/>
              </w:rPr>
              <w:t>Desember</w:t>
            </w:r>
            <w:proofErr w:type="spellEnd"/>
            <w:r w:rsidRPr="0082290D">
              <w:rPr>
                <w:b/>
                <w:sz w:val="18"/>
              </w:rPr>
              <w:t xml:space="preserve"> 2011</w:t>
            </w:r>
          </w:p>
        </w:tc>
        <w:tc>
          <w:tcPr>
            <w:tcW w:w="2394" w:type="dxa"/>
          </w:tcPr>
          <w:p w:rsidR="00865F50" w:rsidRPr="0082290D" w:rsidRDefault="00865F50" w:rsidP="0056141C">
            <w:pPr>
              <w:rPr>
                <w:b/>
                <w:sz w:val="18"/>
              </w:rPr>
            </w:pPr>
            <w:r w:rsidRPr="0082290D">
              <w:rPr>
                <w:b/>
                <w:sz w:val="18"/>
              </w:rPr>
              <w:t xml:space="preserve">31 </w:t>
            </w:r>
            <w:proofErr w:type="spellStart"/>
            <w:r w:rsidRPr="0082290D">
              <w:rPr>
                <w:b/>
                <w:sz w:val="18"/>
              </w:rPr>
              <w:t>Desember</w:t>
            </w:r>
            <w:proofErr w:type="spellEnd"/>
            <w:r w:rsidRPr="0082290D">
              <w:rPr>
                <w:b/>
                <w:sz w:val="18"/>
              </w:rPr>
              <w:t xml:space="preserve"> 2012</w:t>
            </w:r>
          </w:p>
        </w:tc>
        <w:tc>
          <w:tcPr>
            <w:tcW w:w="2394" w:type="dxa"/>
          </w:tcPr>
          <w:p w:rsidR="00865F50" w:rsidRPr="0082290D" w:rsidRDefault="00865F50" w:rsidP="0056141C">
            <w:pPr>
              <w:rPr>
                <w:b/>
                <w:sz w:val="18"/>
              </w:rPr>
            </w:pPr>
            <w:r w:rsidRPr="0082290D">
              <w:rPr>
                <w:b/>
                <w:sz w:val="18"/>
              </w:rPr>
              <w:t xml:space="preserve">31 </w:t>
            </w:r>
            <w:proofErr w:type="spellStart"/>
            <w:r w:rsidRPr="0082290D">
              <w:rPr>
                <w:b/>
                <w:sz w:val="18"/>
              </w:rPr>
              <w:t>Desember</w:t>
            </w:r>
            <w:proofErr w:type="spellEnd"/>
            <w:r w:rsidRPr="0082290D">
              <w:rPr>
                <w:b/>
                <w:sz w:val="18"/>
              </w:rPr>
              <w:t xml:space="preserve"> 2013</w:t>
            </w:r>
          </w:p>
        </w:tc>
      </w:tr>
      <w:tr w:rsidR="00865F50" w:rsidRPr="0082290D" w:rsidTr="0056141C">
        <w:tc>
          <w:tcPr>
            <w:tcW w:w="2394" w:type="dxa"/>
          </w:tcPr>
          <w:p w:rsidR="00865F50" w:rsidRPr="0082290D" w:rsidRDefault="00865F50" w:rsidP="0056141C">
            <w:pPr>
              <w:rPr>
                <w:b/>
                <w:sz w:val="18"/>
              </w:rPr>
            </w:pPr>
            <w:proofErr w:type="spellStart"/>
            <w:r w:rsidRPr="0082290D">
              <w:rPr>
                <w:b/>
                <w:sz w:val="18"/>
              </w:rPr>
              <w:t>Aktiva</w:t>
            </w:r>
            <w:proofErr w:type="spellEnd"/>
          </w:p>
        </w:tc>
        <w:tc>
          <w:tcPr>
            <w:tcW w:w="2394" w:type="dxa"/>
          </w:tcPr>
          <w:p w:rsidR="00865F50" w:rsidRPr="0082290D" w:rsidRDefault="00865F50" w:rsidP="0056141C">
            <w:pPr>
              <w:rPr>
                <w:b/>
                <w:sz w:val="18"/>
              </w:rPr>
            </w:pPr>
          </w:p>
        </w:tc>
        <w:tc>
          <w:tcPr>
            <w:tcW w:w="2394" w:type="dxa"/>
          </w:tcPr>
          <w:p w:rsidR="00865F50" w:rsidRPr="0082290D" w:rsidRDefault="00865F50" w:rsidP="0056141C">
            <w:pPr>
              <w:rPr>
                <w:b/>
                <w:sz w:val="18"/>
              </w:rPr>
            </w:pPr>
          </w:p>
        </w:tc>
        <w:tc>
          <w:tcPr>
            <w:tcW w:w="2394" w:type="dxa"/>
          </w:tcPr>
          <w:p w:rsidR="00865F50" w:rsidRPr="0082290D" w:rsidRDefault="00865F50" w:rsidP="0056141C">
            <w:pPr>
              <w:rPr>
                <w:b/>
                <w:sz w:val="18"/>
              </w:rPr>
            </w:pPr>
          </w:p>
        </w:tc>
      </w:tr>
      <w:tr w:rsidR="00865F50" w:rsidRPr="0082290D" w:rsidTr="0056141C">
        <w:tc>
          <w:tcPr>
            <w:tcW w:w="2394" w:type="dxa"/>
          </w:tcPr>
          <w:p w:rsidR="00865F50" w:rsidRPr="0082290D" w:rsidRDefault="00865F50" w:rsidP="0056141C">
            <w:pPr>
              <w:rPr>
                <w:b/>
                <w:sz w:val="18"/>
              </w:rPr>
            </w:pPr>
            <w:proofErr w:type="spellStart"/>
            <w:r w:rsidRPr="0082290D">
              <w:rPr>
                <w:b/>
                <w:sz w:val="18"/>
              </w:rPr>
              <w:t>Aktiva</w:t>
            </w:r>
            <w:proofErr w:type="spellEnd"/>
            <w:r w:rsidRPr="0082290D">
              <w:rPr>
                <w:b/>
                <w:sz w:val="18"/>
              </w:rPr>
              <w:t xml:space="preserve">  </w:t>
            </w:r>
            <w:proofErr w:type="spellStart"/>
            <w:r w:rsidRPr="0082290D">
              <w:rPr>
                <w:b/>
                <w:sz w:val="18"/>
              </w:rPr>
              <w:t>Lancar</w:t>
            </w:r>
            <w:proofErr w:type="spellEnd"/>
          </w:p>
        </w:tc>
        <w:tc>
          <w:tcPr>
            <w:tcW w:w="2394" w:type="dxa"/>
          </w:tcPr>
          <w:p w:rsidR="00865F50" w:rsidRPr="0082290D" w:rsidRDefault="00865F50" w:rsidP="0056141C">
            <w:pPr>
              <w:rPr>
                <w:b/>
                <w:sz w:val="18"/>
              </w:rPr>
            </w:pPr>
          </w:p>
        </w:tc>
        <w:tc>
          <w:tcPr>
            <w:tcW w:w="2394" w:type="dxa"/>
          </w:tcPr>
          <w:p w:rsidR="00865F50" w:rsidRPr="0082290D" w:rsidRDefault="00865F50" w:rsidP="0056141C">
            <w:pPr>
              <w:rPr>
                <w:b/>
                <w:sz w:val="18"/>
              </w:rPr>
            </w:pPr>
          </w:p>
        </w:tc>
        <w:tc>
          <w:tcPr>
            <w:tcW w:w="2394" w:type="dxa"/>
          </w:tcPr>
          <w:p w:rsidR="00865F50" w:rsidRPr="0082290D" w:rsidRDefault="00865F50" w:rsidP="0056141C">
            <w:pPr>
              <w:rPr>
                <w:b/>
                <w:sz w:val="18"/>
              </w:rPr>
            </w:pPr>
          </w:p>
        </w:tc>
      </w:tr>
      <w:tr w:rsidR="00865F50" w:rsidRPr="0082290D" w:rsidTr="0056141C">
        <w:tc>
          <w:tcPr>
            <w:tcW w:w="2394" w:type="dxa"/>
          </w:tcPr>
          <w:p w:rsidR="00865F50" w:rsidRPr="0082290D" w:rsidRDefault="00865F50" w:rsidP="0056141C">
            <w:pPr>
              <w:rPr>
                <w:sz w:val="18"/>
              </w:rPr>
            </w:pPr>
            <w:proofErr w:type="spellStart"/>
            <w:r w:rsidRPr="0082290D">
              <w:rPr>
                <w:sz w:val="18"/>
              </w:rPr>
              <w:t>Kas</w:t>
            </w:r>
            <w:proofErr w:type="spellEnd"/>
          </w:p>
        </w:tc>
        <w:tc>
          <w:tcPr>
            <w:tcW w:w="2394" w:type="dxa"/>
          </w:tcPr>
          <w:p w:rsidR="00865F50" w:rsidRPr="0082290D" w:rsidRDefault="00865F50" w:rsidP="0056141C">
            <w:pPr>
              <w:jc w:val="right"/>
              <w:rPr>
                <w:sz w:val="18"/>
              </w:rPr>
            </w:pPr>
            <w:r w:rsidRPr="0082290D">
              <w:rPr>
                <w:sz w:val="18"/>
              </w:rPr>
              <w:t>3.000.000</w:t>
            </w:r>
          </w:p>
        </w:tc>
        <w:tc>
          <w:tcPr>
            <w:tcW w:w="2394" w:type="dxa"/>
          </w:tcPr>
          <w:p w:rsidR="00865F50" w:rsidRPr="0082290D" w:rsidRDefault="00865F50" w:rsidP="0056141C">
            <w:pPr>
              <w:jc w:val="right"/>
              <w:rPr>
                <w:sz w:val="18"/>
              </w:rPr>
            </w:pPr>
            <w:r w:rsidRPr="0082290D">
              <w:rPr>
                <w:sz w:val="18"/>
              </w:rPr>
              <w:t>4.562.000</w:t>
            </w:r>
          </w:p>
        </w:tc>
        <w:tc>
          <w:tcPr>
            <w:tcW w:w="2394" w:type="dxa"/>
          </w:tcPr>
          <w:p w:rsidR="00865F50" w:rsidRPr="0082290D" w:rsidRDefault="00865F50" w:rsidP="0056141C">
            <w:pPr>
              <w:jc w:val="right"/>
              <w:rPr>
                <w:sz w:val="18"/>
              </w:rPr>
            </w:pPr>
            <w:r w:rsidRPr="0082290D">
              <w:rPr>
                <w:sz w:val="18"/>
              </w:rPr>
              <w:t>14.108.000</w:t>
            </w:r>
          </w:p>
        </w:tc>
      </w:tr>
      <w:tr w:rsidR="00865F50" w:rsidRPr="0082290D" w:rsidTr="0056141C">
        <w:tc>
          <w:tcPr>
            <w:tcW w:w="2394" w:type="dxa"/>
            <w:tcBorders>
              <w:bottom w:val="single" w:sz="4" w:space="0" w:color="auto"/>
            </w:tcBorders>
          </w:tcPr>
          <w:p w:rsidR="00865F50" w:rsidRPr="0082290D" w:rsidRDefault="00865F50" w:rsidP="0056141C">
            <w:pPr>
              <w:rPr>
                <w:sz w:val="18"/>
              </w:rPr>
            </w:pPr>
            <w:proofErr w:type="spellStart"/>
            <w:r w:rsidRPr="0082290D">
              <w:rPr>
                <w:sz w:val="18"/>
              </w:rPr>
              <w:t>Piutang</w:t>
            </w:r>
            <w:proofErr w:type="spellEnd"/>
            <w:r w:rsidRPr="0082290D">
              <w:rPr>
                <w:sz w:val="18"/>
              </w:rPr>
              <w:t xml:space="preserve"> </w:t>
            </w:r>
            <w:proofErr w:type="spellStart"/>
            <w:r w:rsidRPr="0082290D">
              <w:rPr>
                <w:sz w:val="18"/>
              </w:rPr>
              <w:t>Dagang</w:t>
            </w:r>
            <w:proofErr w:type="spellEnd"/>
          </w:p>
        </w:tc>
        <w:tc>
          <w:tcPr>
            <w:tcW w:w="2394" w:type="dxa"/>
            <w:tcBorders>
              <w:bottom w:val="single" w:sz="4" w:space="0" w:color="auto"/>
            </w:tcBorders>
          </w:tcPr>
          <w:p w:rsidR="00865F50" w:rsidRPr="0082290D" w:rsidRDefault="00865F50" w:rsidP="0056141C">
            <w:pPr>
              <w:jc w:val="right"/>
              <w:rPr>
                <w:sz w:val="18"/>
              </w:rPr>
            </w:pPr>
            <w:r w:rsidRPr="0082290D">
              <w:rPr>
                <w:sz w:val="18"/>
              </w:rPr>
              <w:t>45.200.000</w:t>
            </w:r>
          </w:p>
        </w:tc>
        <w:tc>
          <w:tcPr>
            <w:tcW w:w="2394" w:type="dxa"/>
            <w:tcBorders>
              <w:bottom w:val="single" w:sz="4" w:space="0" w:color="auto"/>
            </w:tcBorders>
          </w:tcPr>
          <w:p w:rsidR="00865F50" w:rsidRPr="0082290D" w:rsidRDefault="00865F50" w:rsidP="0056141C">
            <w:pPr>
              <w:jc w:val="right"/>
              <w:rPr>
                <w:sz w:val="18"/>
              </w:rPr>
            </w:pPr>
            <w:r w:rsidRPr="0082290D">
              <w:rPr>
                <w:sz w:val="18"/>
              </w:rPr>
              <w:t>85.462.000</w:t>
            </w:r>
          </w:p>
        </w:tc>
        <w:tc>
          <w:tcPr>
            <w:tcW w:w="2394" w:type="dxa"/>
            <w:tcBorders>
              <w:bottom w:val="single" w:sz="4" w:space="0" w:color="auto"/>
            </w:tcBorders>
          </w:tcPr>
          <w:p w:rsidR="00865F50" w:rsidRPr="0082290D" w:rsidRDefault="00865F50" w:rsidP="0056141C">
            <w:pPr>
              <w:jc w:val="right"/>
              <w:rPr>
                <w:sz w:val="18"/>
              </w:rPr>
            </w:pPr>
            <w:r w:rsidRPr="0082290D">
              <w:rPr>
                <w:sz w:val="18"/>
              </w:rPr>
              <w:t>86.750.000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tabs>
                <w:tab w:val="right" w:pos="2178"/>
              </w:tabs>
              <w:rPr>
                <w:sz w:val="18"/>
              </w:rPr>
            </w:pPr>
            <w:proofErr w:type="spellStart"/>
            <w:r w:rsidRPr="0082290D">
              <w:rPr>
                <w:sz w:val="18"/>
              </w:rPr>
              <w:t>Persediaan</w:t>
            </w:r>
            <w:proofErr w:type="spellEnd"/>
            <w:r w:rsidRPr="0082290D">
              <w:rPr>
                <w:sz w:val="18"/>
              </w:rPr>
              <w:tab/>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91.515.000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125.620.000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156.420.000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r w:rsidRPr="0082290D">
              <w:rPr>
                <w:b/>
                <w:sz w:val="18"/>
              </w:rPr>
              <w:t xml:space="preserve">Total </w:t>
            </w:r>
            <w:proofErr w:type="spellStart"/>
            <w:r w:rsidRPr="0082290D">
              <w:rPr>
                <w:b/>
                <w:sz w:val="18"/>
              </w:rPr>
              <w:t>Aktiva</w:t>
            </w:r>
            <w:proofErr w:type="spellEnd"/>
            <w:r w:rsidRPr="0082290D">
              <w:rPr>
                <w:b/>
                <w:sz w:val="18"/>
              </w:rPr>
              <w:t xml:space="preserve"> </w:t>
            </w:r>
            <w:proofErr w:type="spellStart"/>
            <w:r w:rsidRPr="0082290D">
              <w:rPr>
                <w:b/>
                <w:sz w:val="18"/>
              </w:rPr>
              <w:t>Lancar</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139.715.000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215.644.000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257.278.000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proofErr w:type="spellStart"/>
            <w:r w:rsidRPr="0082290D">
              <w:rPr>
                <w:b/>
                <w:sz w:val="18"/>
              </w:rPr>
              <w:t>Aktiva</w:t>
            </w:r>
            <w:proofErr w:type="spellEnd"/>
            <w:r w:rsidRPr="0082290D">
              <w:rPr>
                <w:b/>
                <w:sz w:val="18"/>
              </w:rPr>
              <w:t xml:space="preserve"> </w:t>
            </w:r>
            <w:proofErr w:type="spellStart"/>
            <w:r w:rsidRPr="0082290D">
              <w:rPr>
                <w:b/>
                <w:sz w:val="18"/>
              </w:rPr>
              <w:t>Tetap</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sz w:val="18"/>
              </w:rPr>
            </w:pPr>
            <w:r w:rsidRPr="0082290D">
              <w:rPr>
                <w:sz w:val="18"/>
              </w:rPr>
              <w:t xml:space="preserve">Tanah </w:t>
            </w:r>
            <w:proofErr w:type="spellStart"/>
            <w:r w:rsidRPr="0082290D">
              <w:rPr>
                <w:sz w:val="18"/>
              </w:rPr>
              <w:t>dan</w:t>
            </w:r>
            <w:proofErr w:type="spellEnd"/>
            <w:r w:rsidRPr="0082290D">
              <w:rPr>
                <w:sz w:val="18"/>
              </w:rPr>
              <w:t xml:space="preserve"> </w:t>
            </w:r>
            <w:proofErr w:type="spellStart"/>
            <w:r w:rsidRPr="0082290D">
              <w:rPr>
                <w:sz w:val="18"/>
              </w:rPr>
              <w:t>Bangunan</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92.377.000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92.377.000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92.377.000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sz w:val="18"/>
              </w:rPr>
            </w:pPr>
            <w:proofErr w:type="spellStart"/>
            <w:r w:rsidRPr="0082290D">
              <w:rPr>
                <w:sz w:val="18"/>
              </w:rPr>
              <w:t>Kendaraan</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25.000.000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25.000.000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100.000.000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sz w:val="18"/>
              </w:rPr>
            </w:pPr>
            <w:proofErr w:type="spellStart"/>
            <w:r w:rsidRPr="0082290D">
              <w:rPr>
                <w:sz w:val="18"/>
              </w:rPr>
              <w:t>Inventaris</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2.000.000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2.000.000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2.000.000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sz w:val="18"/>
              </w:rPr>
            </w:pPr>
            <w:proofErr w:type="spellStart"/>
            <w:r w:rsidRPr="0082290D">
              <w:rPr>
                <w:sz w:val="18"/>
              </w:rPr>
              <w:t>Akumulasi</w:t>
            </w:r>
            <w:proofErr w:type="spellEnd"/>
            <w:r w:rsidRPr="0082290D">
              <w:rPr>
                <w:sz w:val="18"/>
              </w:rPr>
              <w:t xml:space="preserve"> </w:t>
            </w:r>
            <w:proofErr w:type="spellStart"/>
            <w:r w:rsidRPr="0082290D">
              <w:rPr>
                <w:sz w:val="18"/>
              </w:rPr>
              <w:t>Penyusutan</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(15.200.000)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(30.400.000)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r w:rsidRPr="0082290D">
              <w:rPr>
                <w:b/>
                <w:sz w:val="18"/>
              </w:rPr>
              <w:t>Total</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119.377.000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104.177.000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163.977.000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r w:rsidRPr="0082290D">
              <w:rPr>
                <w:b/>
                <w:sz w:val="18"/>
              </w:rPr>
              <w:t xml:space="preserve">Total </w:t>
            </w:r>
            <w:proofErr w:type="spellStart"/>
            <w:r w:rsidRPr="0082290D">
              <w:rPr>
                <w:b/>
                <w:sz w:val="18"/>
              </w:rPr>
              <w:t>Aktiva</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259.092.000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319.821.000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421.255.000</w:t>
            </w:r>
          </w:p>
        </w:tc>
      </w:tr>
      <w:tr w:rsidR="00865F50" w:rsidRPr="0082290D" w:rsidTr="0056141C">
        <w:tc>
          <w:tcPr>
            <w:tcW w:w="2394" w:type="dxa"/>
            <w:tcBorders>
              <w:top w:val="single" w:sz="4" w:space="0" w:color="auto"/>
              <w:bottom w:val="single" w:sz="4" w:space="0" w:color="auto"/>
            </w:tcBorders>
          </w:tcPr>
          <w:p w:rsidR="00865F50" w:rsidRPr="0082290D" w:rsidRDefault="00865F50" w:rsidP="0056141C">
            <w:pPr>
              <w:rPr>
                <w:b/>
                <w:sz w:val="18"/>
              </w:rPr>
            </w:pPr>
            <w:proofErr w:type="spellStart"/>
            <w:r w:rsidRPr="0082290D">
              <w:rPr>
                <w:b/>
                <w:sz w:val="18"/>
              </w:rPr>
              <w:t>Passiva</w:t>
            </w:r>
            <w:proofErr w:type="spellEnd"/>
          </w:p>
        </w:tc>
        <w:tc>
          <w:tcPr>
            <w:tcW w:w="2394" w:type="dxa"/>
            <w:tcBorders>
              <w:top w:val="single" w:sz="4" w:space="0" w:color="auto"/>
              <w:bottom w:val="single" w:sz="4" w:space="0" w:color="auto"/>
            </w:tcBorders>
          </w:tcPr>
          <w:p w:rsidR="00865F50" w:rsidRPr="0082290D" w:rsidRDefault="00865F50" w:rsidP="0056141C">
            <w:pPr>
              <w:jc w:val="right"/>
              <w:rPr>
                <w:b/>
                <w:sz w:val="18"/>
              </w:rPr>
            </w:pPr>
          </w:p>
        </w:tc>
        <w:tc>
          <w:tcPr>
            <w:tcW w:w="2394" w:type="dxa"/>
            <w:tcBorders>
              <w:top w:val="single" w:sz="4" w:space="0" w:color="auto"/>
              <w:bottom w:val="single" w:sz="4" w:space="0" w:color="auto"/>
            </w:tcBorders>
          </w:tcPr>
          <w:p w:rsidR="00865F50" w:rsidRPr="0082290D" w:rsidRDefault="00865F50" w:rsidP="0056141C">
            <w:pPr>
              <w:jc w:val="right"/>
              <w:rPr>
                <w:b/>
                <w:sz w:val="18"/>
              </w:rPr>
            </w:pPr>
          </w:p>
        </w:tc>
        <w:tc>
          <w:tcPr>
            <w:tcW w:w="2394" w:type="dxa"/>
            <w:tcBorders>
              <w:top w:val="single" w:sz="4" w:space="0" w:color="auto"/>
              <w:bottom w:val="single" w:sz="4" w:space="0" w:color="auto"/>
            </w:tcBorders>
          </w:tcPr>
          <w:p w:rsidR="00865F50" w:rsidRPr="0082290D" w:rsidRDefault="00865F50" w:rsidP="0056141C">
            <w:pPr>
              <w:jc w:val="right"/>
              <w:rPr>
                <w:b/>
                <w:sz w:val="18"/>
              </w:rPr>
            </w:pP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proofErr w:type="spellStart"/>
            <w:r w:rsidRPr="0082290D">
              <w:rPr>
                <w:b/>
                <w:sz w:val="18"/>
              </w:rPr>
              <w:t>Hutang</w:t>
            </w:r>
            <w:proofErr w:type="spellEnd"/>
            <w:r w:rsidRPr="0082290D">
              <w:rPr>
                <w:b/>
                <w:sz w:val="18"/>
              </w:rPr>
              <w:t xml:space="preserve"> </w:t>
            </w:r>
            <w:proofErr w:type="spellStart"/>
            <w:r w:rsidRPr="0082290D">
              <w:rPr>
                <w:b/>
                <w:sz w:val="18"/>
              </w:rPr>
              <w:t>Lancar</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sz w:val="18"/>
              </w:rPr>
            </w:pPr>
            <w:proofErr w:type="spellStart"/>
            <w:r w:rsidRPr="0082290D">
              <w:rPr>
                <w:sz w:val="18"/>
              </w:rPr>
              <w:t>Hutang</w:t>
            </w:r>
            <w:proofErr w:type="spellEnd"/>
            <w:r w:rsidRPr="0082290D">
              <w:rPr>
                <w:sz w:val="18"/>
              </w:rPr>
              <w:t xml:space="preserve"> Usaha</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45.250.000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50.784.000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r w:rsidRPr="0082290D">
              <w:rPr>
                <w:sz w:val="18"/>
              </w:rPr>
              <w:t>56.133.000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r w:rsidRPr="0082290D">
              <w:rPr>
                <w:b/>
                <w:sz w:val="18"/>
              </w:rPr>
              <w:t xml:space="preserve">Total </w:t>
            </w:r>
            <w:proofErr w:type="spellStart"/>
            <w:r w:rsidRPr="0082290D">
              <w:rPr>
                <w:b/>
                <w:sz w:val="18"/>
              </w:rPr>
              <w:t>Hutang</w:t>
            </w:r>
            <w:proofErr w:type="spellEnd"/>
            <w:r w:rsidRPr="0082290D">
              <w:rPr>
                <w:b/>
                <w:sz w:val="18"/>
              </w:rPr>
              <w:t xml:space="preserve"> </w:t>
            </w:r>
            <w:proofErr w:type="spellStart"/>
            <w:r w:rsidRPr="0082290D">
              <w:rPr>
                <w:b/>
                <w:sz w:val="18"/>
              </w:rPr>
              <w:t>Lancar</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45.250.000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50.784.000</w:t>
            </w: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b/>
                <w:sz w:val="18"/>
              </w:rPr>
            </w:pPr>
            <w:r w:rsidRPr="0082290D">
              <w:rPr>
                <w:b/>
                <w:sz w:val="18"/>
              </w:rPr>
              <w:t>56.133.000</w:t>
            </w:r>
          </w:p>
        </w:tc>
      </w:tr>
      <w:tr w:rsidR="00865F50" w:rsidRPr="0082290D" w:rsidTr="0056141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rPr>
                <w:b/>
                <w:sz w:val="18"/>
              </w:rPr>
            </w:pPr>
            <w:proofErr w:type="spellStart"/>
            <w:r w:rsidRPr="0082290D">
              <w:rPr>
                <w:b/>
                <w:sz w:val="18"/>
              </w:rPr>
              <w:t>Hutang</w:t>
            </w:r>
            <w:proofErr w:type="spellEnd"/>
            <w:r w:rsidRPr="0082290D">
              <w:rPr>
                <w:b/>
                <w:sz w:val="18"/>
              </w:rPr>
              <w:t xml:space="preserve"> </w:t>
            </w:r>
            <w:proofErr w:type="spellStart"/>
            <w:r w:rsidRPr="0082290D">
              <w:rPr>
                <w:b/>
                <w:sz w:val="18"/>
              </w:rPr>
              <w:t>Jangka</w:t>
            </w:r>
            <w:proofErr w:type="spellEnd"/>
            <w:r w:rsidRPr="0082290D">
              <w:rPr>
                <w:b/>
                <w:sz w:val="18"/>
              </w:rPr>
              <w:t xml:space="preserve"> </w:t>
            </w:r>
            <w:proofErr w:type="spellStart"/>
            <w:r w:rsidRPr="0082290D">
              <w:rPr>
                <w:b/>
                <w:sz w:val="18"/>
              </w:rPr>
              <w:t>Panjang</w:t>
            </w:r>
            <w:proofErr w:type="spellEnd"/>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p>
        </w:tc>
        <w:tc>
          <w:tcPr>
            <w:tcW w:w="2394" w:type="dxa"/>
            <w:tcBorders>
              <w:top w:val="single" w:sz="4" w:space="0" w:color="auto"/>
              <w:left w:val="single" w:sz="4" w:space="0" w:color="auto"/>
              <w:bottom w:val="single" w:sz="4" w:space="0" w:color="auto"/>
              <w:right w:val="single" w:sz="4" w:space="0" w:color="auto"/>
            </w:tcBorders>
          </w:tcPr>
          <w:p w:rsidR="00865F50" w:rsidRPr="0082290D" w:rsidRDefault="00865F50" w:rsidP="0056141C">
            <w:pPr>
              <w:jc w:val="right"/>
              <w:rPr>
                <w:sz w:val="18"/>
              </w:rPr>
            </w:pPr>
          </w:p>
        </w:tc>
      </w:tr>
      <w:tr w:rsidR="00865F50" w:rsidRPr="0082290D" w:rsidTr="0056141C">
        <w:tc>
          <w:tcPr>
            <w:tcW w:w="2394" w:type="dxa"/>
            <w:tcBorders>
              <w:top w:val="single" w:sz="4" w:space="0" w:color="auto"/>
            </w:tcBorders>
          </w:tcPr>
          <w:p w:rsidR="00865F50" w:rsidRPr="0082290D" w:rsidRDefault="00865F50" w:rsidP="0056141C">
            <w:pPr>
              <w:rPr>
                <w:sz w:val="18"/>
              </w:rPr>
            </w:pPr>
            <w:proofErr w:type="spellStart"/>
            <w:r w:rsidRPr="0082290D">
              <w:rPr>
                <w:sz w:val="18"/>
              </w:rPr>
              <w:t>Hutang</w:t>
            </w:r>
            <w:proofErr w:type="spellEnd"/>
            <w:r w:rsidRPr="0082290D">
              <w:rPr>
                <w:sz w:val="18"/>
              </w:rPr>
              <w:t xml:space="preserve"> Bank</w:t>
            </w:r>
          </w:p>
        </w:tc>
        <w:tc>
          <w:tcPr>
            <w:tcW w:w="2394" w:type="dxa"/>
            <w:tcBorders>
              <w:top w:val="single" w:sz="4" w:space="0" w:color="auto"/>
            </w:tcBorders>
          </w:tcPr>
          <w:p w:rsidR="00865F50" w:rsidRPr="0082290D" w:rsidRDefault="00865F50" w:rsidP="0056141C">
            <w:pPr>
              <w:jc w:val="right"/>
              <w:rPr>
                <w:sz w:val="18"/>
              </w:rPr>
            </w:pPr>
            <w:r w:rsidRPr="0082290D">
              <w:rPr>
                <w:sz w:val="18"/>
              </w:rPr>
              <w:t>-</w:t>
            </w:r>
          </w:p>
        </w:tc>
        <w:tc>
          <w:tcPr>
            <w:tcW w:w="2394" w:type="dxa"/>
            <w:tcBorders>
              <w:top w:val="single" w:sz="4" w:space="0" w:color="auto"/>
            </w:tcBorders>
          </w:tcPr>
          <w:p w:rsidR="00865F50" w:rsidRPr="0082290D" w:rsidRDefault="00865F50" w:rsidP="0056141C">
            <w:pPr>
              <w:jc w:val="right"/>
              <w:rPr>
                <w:sz w:val="18"/>
              </w:rPr>
            </w:pPr>
            <w:r w:rsidRPr="0082290D">
              <w:rPr>
                <w:sz w:val="18"/>
              </w:rPr>
              <w:t>25.620.000</w:t>
            </w:r>
          </w:p>
        </w:tc>
        <w:tc>
          <w:tcPr>
            <w:tcW w:w="2394" w:type="dxa"/>
            <w:tcBorders>
              <w:top w:val="single" w:sz="4" w:space="0" w:color="auto"/>
            </w:tcBorders>
          </w:tcPr>
          <w:p w:rsidR="00865F50" w:rsidRPr="0082290D" w:rsidRDefault="00865F50" w:rsidP="0056141C">
            <w:pPr>
              <w:jc w:val="right"/>
              <w:rPr>
                <w:sz w:val="18"/>
              </w:rPr>
            </w:pPr>
            <w:r w:rsidRPr="0082290D">
              <w:rPr>
                <w:sz w:val="18"/>
              </w:rPr>
              <w:t>40.152.000</w:t>
            </w:r>
          </w:p>
        </w:tc>
      </w:tr>
      <w:tr w:rsidR="00865F50" w:rsidRPr="0082290D" w:rsidTr="0056141C">
        <w:tc>
          <w:tcPr>
            <w:tcW w:w="2394" w:type="dxa"/>
          </w:tcPr>
          <w:p w:rsidR="00865F50" w:rsidRPr="0082290D" w:rsidRDefault="00865F50" w:rsidP="0056141C">
            <w:pPr>
              <w:rPr>
                <w:b/>
                <w:sz w:val="18"/>
              </w:rPr>
            </w:pPr>
            <w:r w:rsidRPr="0082290D">
              <w:rPr>
                <w:b/>
                <w:sz w:val="18"/>
              </w:rPr>
              <w:t xml:space="preserve">Total </w:t>
            </w:r>
            <w:proofErr w:type="spellStart"/>
            <w:r w:rsidRPr="0082290D">
              <w:rPr>
                <w:b/>
                <w:sz w:val="18"/>
              </w:rPr>
              <w:t>Hutang</w:t>
            </w:r>
            <w:proofErr w:type="spellEnd"/>
          </w:p>
        </w:tc>
        <w:tc>
          <w:tcPr>
            <w:tcW w:w="2394" w:type="dxa"/>
          </w:tcPr>
          <w:p w:rsidR="00865F50" w:rsidRPr="0082290D" w:rsidRDefault="00865F50" w:rsidP="0056141C">
            <w:pPr>
              <w:jc w:val="right"/>
              <w:rPr>
                <w:b/>
                <w:sz w:val="18"/>
              </w:rPr>
            </w:pPr>
            <w:r w:rsidRPr="0082290D">
              <w:rPr>
                <w:b/>
                <w:sz w:val="18"/>
              </w:rPr>
              <w:t>45.250.000</w:t>
            </w:r>
          </w:p>
        </w:tc>
        <w:tc>
          <w:tcPr>
            <w:tcW w:w="2394" w:type="dxa"/>
          </w:tcPr>
          <w:p w:rsidR="00865F50" w:rsidRPr="0082290D" w:rsidRDefault="00865F50" w:rsidP="0056141C">
            <w:pPr>
              <w:jc w:val="right"/>
              <w:rPr>
                <w:b/>
                <w:sz w:val="18"/>
              </w:rPr>
            </w:pPr>
            <w:r w:rsidRPr="0082290D">
              <w:rPr>
                <w:b/>
                <w:sz w:val="18"/>
              </w:rPr>
              <w:t>76.404.000</w:t>
            </w:r>
          </w:p>
        </w:tc>
        <w:tc>
          <w:tcPr>
            <w:tcW w:w="2394" w:type="dxa"/>
          </w:tcPr>
          <w:p w:rsidR="00865F50" w:rsidRPr="0082290D" w:rsidRDefault="00865F50" w:rsidP="0056141C">
            <w:pPr>
              <w:jc w:val="right"/>
              <w:rPr>
                <w:b/>
                <w:sz w:val="18"/>
              </w:rPr>
            </w:pPr>
            <w:r w:rsidRPr="0082290D">
              <w:rPr>
                <w:b/>
                <w:sz w:val="18"/>
              </w:rPr>
              <w:t>96.285.000</w:t>
            </w:r>
          </w:p>
        </w:tc>
      </w:tr>
      <w:tr w:rsidR="00865F50" w:rsidRPr="0082290D" w:rsidTr="0056141C">
        <w:tc>
          <w:tcPr>
            <w:tcW w:w="2394" w:type="dxa"/>
          </w:tcPr>
          <w:p w:rsidR="00865F50" w:rsidRPr="0082290D" w:rsidRDefault="00865F50" w:rsidP="0056141C">
            <w:pPr>
              <w:rPr>
                <w:b/>
                <w:sz w:val="18"/>
              </w:rPr>
            </w:pPr>
            <w:r w:rsidRPr="0082290D">
              <w:rPr>
                <w:b/>
                <w:sz w:val="18"/>
              </w:rPr>
              <w:t xml:space="preserve">Modal </w:t>
            </w:r>
            <w:proofErr w:type="spellStart"/>
            <w:r w:rsidRPr="0082290D">
              <w:rPr>
                <w:b/>
                <w:sz w:val="18"/>
              </w:rPr>
              <w:t>Sendiri</w:t>
            </w:r>
            <w:proofErr w:type="spellEnd"/>
          </w:p>
        </w:tc>
        <w:tc>
          <w:tcPr>
            <w:tcW w:w="2394" w:type="dxa"/>
          </w:tcPr>
          <w:p w:rsidR="00865F50" w:rsidRPr="0082290D" w:rsidRDefault="00865F50" w:rsidP="0056141C">
            <w:pPr>
              <w:jc w:val="right"/>
              <w:rPr>
                <w:b/>
                <w:sz w:val="18"/>
              </w:rPr>
            </w:pPr>
          </w:p>
        </w:tc>
        <w:tc>
          <w:tcPr>
            <w:tcW w:w="2394" w:type="dxa"/>
          </w:tcPr>
          <w:p w:rsidR="00865F50" w:rsidRPr="0082290D" w:rsidRDefault="00865F50" w:rsidP="0056141C">
            <w:pPr>
              <w:jc w:val="right"/>
              <w:rPr>
                <w:b/>
                <w:sz w:val="18"/>
              </w:rPr>
            </w:pPr>
          </w:p>
        </w:tc>
        <w:tc>
          <w:tcPr>
            <w:tcW w:w="2394" w:type="dxa"/>
          </w:tcPr>
          <w:p w:rsidR="00865F50" w:rsidRPr="0082290D" w:rsidRDefault="00865F50" w:rsidP="0056141C">
            <w:pPr>
              <w:jc w:val="right"/>
              <w:rPr>
                <w:b/>
                <w:sz w:val="18"/>
              </w:rPr>
            </w:pPr>
          </w:p>
        </w:tc>
      </w:tr>
      <w:tr w:rsidR="00865F50" w:rsidRPr="0082290D" w:rsidTr="0056141C">
        <w:tc>
          <w:tcPr>
            <w:tcW w:w="2394" w:type="dxa"/>
          </w:tcPr>
          <w:p w:rsidR="00865F50" w:rsidRPr="0082290D" w:rsidRDefault="00865F50" w:rsidP="0056141C">
            <w:pPr>
              <w:rPr>
                <w:sz w:val="18"/>
              </w:rPr>
            </w:pPr>
            <w:r w:rsidRPr="0082290D">
              <w:rPr>
                <w:sz w:val="18"/>
              </w:rPr>
              <w:t xml:space="preserve">Modal </w:t>
            </w:r>
            <w:proofErr w:type="spellStart"/>
            <w:r w:rsidRPr="0082290D">
              <w:rPr>
                <w:sz w:val="18"/>
              </w:rPr>
              <w:t>disetor</w:t>
            </w:r>
            <w:proofErr w:type="spellEnd"/>
          </w:p>
        </w:tc>
        <w:tc>
          <w:tcPr>
            <w:tcW w:w="2394" w:type="dxa"/>
          </w:tcPr>
          <w:p w:rsidR="00865F50" w:rsidRPr="0082290D" w:rsidRDefault="00865F50" w:rsidP="0056141C">
            <w:pPr>
              <w:jc w:val="right"/>
              <w:rPr>
                <w:sz w:val="18"/>
              </w:rPr>
            </w:pPr>
            <w:r w:rsidRPr="0082290D">
              <w:rPr>
                <w:sz w:val="18"/>
              </w:rPr>
              <w:t>77.377.000</w:t>
            </w:r>
          </w:p>
        </w:tc>
        <w:tc>
          <w:tcPr>
            <w:tcW w:w="2394" w:type="dxa"/>
          </w:tcPr>
          <w:p w:rsidR="00865F50" w:rsidRPr="0082290D" w:rsidRDefault="00865F50" w:rsidP="0056141C">
            <w:pPr>
              <w:jc w:val="right"/>
              <w:rPr>
                <w:sz w:val="18"/>
              </w:rPr>
            </w:pPr>
            <w:r w:rsidRPr="0082290D">
              <w:rPr>
                <w:sz w:val="18"/>
              </w:rPr>
              <w:t>77.377.000</w:t>
            </w:r>
          </w:p>
        </w:tc>
        <w:tc>
          <w:tcPr>
            <w:tcW w:w="2394" w:type="dxa"/>
          </w:tcPr>
          <w:p w:rsidR="00865F50" w:rsidRPr="0082290D" w:rsidRDefault="00865F50" w:rsidP="0056141C">
            <w:pPr>
              <w:jc w:val="right"/>
              <w:rPr>
                <w:sz w:val="18"/>
              </w:rPr>
            </w:pPr>
            <w:r w:rsidRPr="0082290D">
              <w:rPr>
                <w:sz w:val="18"/>
              </w:rPr>
              <w:t>77.377.000</w:t>
            </w:r>
          </w:p>
        </w:tc>
      </w:tr>
      <w:tr w:rsidR="00865F50" w:rsidRPr="0082290D" w:rsidTr="0056141C">
        <w:tc>
          <w:tcPr>
            <w:tcW w:w="2394" w:type="dxa"/>
          </w:tcPr>
          <w:p w:rsidR="00865F50" w:rsidRPr="0082290D" w:rsidRDefault="00865F50" w:rsidP="0056141C">
            <w:pPr>
              <w:rPr>
                <w:sz w:val="18"/>
              </w:rPr>
            </w:pPr>
            <w:proofErr w:type="spellStart"/>
            <w:r w:rsidRPr="0082290D">
              <w:rPr>
                <w:sz w:val="18"/>
              </w:rPr>
              <w:t>Laba</w:t>
            </w:r>
            <w:proofErr w:type="spellEnd"/>
            <w:r w:rsidRPr="0082290D">
              <w:rPr>
                <w:sz w:val="18"/>
              </w:rPr>
              <w:t xml:space="preserve"> </w:t>
            </w:r>
            <w:proofErr w:type="spellStart"/>
            <w:r w:rsidRPr="0082290D">
              <w:rPr>
                <w:sz w:val="18"/>
              </w:rPr>
              <w:t>ditahan</w:t>
            </w:r>
            <w:proofErr w:type="spellEnd"/>
          </w:p>
        </w:tc>
        <w:tc>
          <w:tcPr>
            <w:tcW w:w="2394" w:type="dxa"/>
          </w:tcPr>
          <w:p w:rsidR="00865F50" w:rsidRPr="0082290D" w:rsidRDefault="00865F50" w:rsidP="0056141C">
            <w:pPr>
              <w:jc w:val="right"/>
              <w:rPr>
                <w:sz w:val="18"/>
              </w:rPr>
            </w:pPr>
            <w:r w:rsidRPr="0082290D">
              <w:rPr>
                <w:sz w:val="18"/>
              </w:rPr>
              <w:t>71.317.000</w:t>
            </w:r>
          </w:p>
        </w:tc>
        <w:tc>
          <w:tcPr>
            <w:tcW w:w="2394" w:type="dxa"/>
          </w:tcPr>
          <w:p w:rsidR="00865F50" w:rsidRPr="0082290D" w:rsidRDefault="00865F50" w:rsidP="0056141C">
            <w:pPr>
              <w:jc w:val="right"/>
              <w:rPr>
                <w:sz w:val="18"/>
              </w:rPr>
            </w:pPr>
            <w:r w:rsidRPr="0082290D">
              <w:rPr>
                <w:sz w:val="18"/>
              </w:rPr>
              <w:t>136.465.000</w:t>
            </w:r>
          </w:p>
        </w:tc>
        <w:tc>
          <w:tcPr>
            <w:tcW w:w="2394" w:type="dxa"/>
          </w:tcPr>
          <w:p w:rsidR="00865F50" w:rsidRPr="0082290D" w:rsidRDefault="00865F50" w:rsidP="0056141C">
            <w:pPr>
              <w:jc w:val="right"/>
              <w:rPr>
                <w:sz w:val="18"/>
              </w:rPr>
            </w:pPr>
            <w:r w:rsidRPr="0082290D">
              <w:rPr>
                <w:sz w:val="18"/>
              </w:rPr>
              <w:t>139.660.000</w:t>
            </w:r>
          </w:p>
        </w:tc>
      </w:tr>
      <w:tr w:rsidR="00865F50" w:rsidRPr="0082290D" w:rsidTr="0056141C">
        <w:tc>
          <w:tcPr>
            <w:tcW w:w="2394" w:type="dxa"/>
          </w:tcPr>
          <w:p w:rsidR="00865F50" w:rsidRPr="0082290D" w:rsidRDefault="00865F50" w:rsidP="0056141C">
            <w:pPr>
              <w:rPr>
                <w:sz w:val="18"/>
              </w:rPr>
            </w:pPr>
            <w:proofErr w:type="spellStart"/>
            <w:r w:rsidRPr="0082290D">
              <w:rPr>
                <w:sz w:val="18"/>
              </w:rPr>
              <w:lastRenderedPageBreak/>
              <w:t>Laba</w:t>
            </w:r>
            <w:proofErr w:type="spellEnd"/>
            <w:r w:rsidRPr="0082290D">
              <w:rPr>
                <w:sz w:val="18"/>
              </w:rPr>
              <w:t xml:space="preserve"> </w:t>
            </w:r>
            <w:proofErr w:type="spellStart"/>
            <w:r w:rsidRPr="0082290D">
              <w:rPr>
                <w:sz w:val="18"/>
              </w:rPr>
              <w:t>Tahun</w:t>
            </w:r>
            <w:proofErr w:type="spellEnd"/>
            <w:r w:rsidRPr="0082290D">
              <w:rPr>
                <w:sz w:val="18"/>
              </w:rPr>
              <w:t xml:space="preserve"> </w:t>
            </w:r>
            <w:proofErr w:type="spellStart"/>
            <w:r w:rsidRPr="0082290D">
              <w:rPr>
                <w:sz w:val="18"/>
              </w:rPr>
              <w:t>Berjalan</w:t>
            </w:r>
            <w:proofErr w:type="spellEnd"/>
          </w:p>
        </w:tc>
        <w:tc>
          <w:tcPr>
            <w:tcW w:w="2394" w:type="dxa"/>
          </w:tcPr>
          <w:p w:rsidR="00865F50" w:rsidRPr="0082290D" w:rsidRDefault="00865F50" w:rsidP="0056141C">
            <w:pPr>
              <w:jc w:val="right"/>
              <w:rPr>
                <w:sz w:val="18"/>
              </w:rPr>
            </w:pPr>
            <w:r w:rsidRPr="0082290D">
              <w:rPr>
                <w:sz w:val="18"/>
              </w:rPr>
              <w:t>42.488.000</w:t>
            </w:r>
          </w:p>
        </w:tc>
        <w:tc>
          <w:tcPr>
            <w:tcW w:w="2394" w:type="dxa"/>
          </w:tcPr>
          <w:p w:rsidR="00865F50" w:rsidRPr="0082290D" w:rsidRDefault="00865F50" w:rsidP="0056141C">
            <w:pPr>
              <w:jc w:val="right"/>
              <w:rPr>
                <w:sz w:val="18"/>
              </w:rPr>
            </w:pPr>
            <w:r w:rsidRPr="0082290D">
              <w:rPr>
                <w:sz w:val="18"/>
              </w:rPr>
              <w:t>65.194.000</w:t>
            </w:r>
          </w:p>
        </w:tc>
        <w:tc>
          <w:tcPr>
            <w:tcW w:w="2394" w:type="dxa"/>
          </w:tcPr>
          <w:p w:rsidR="00865F50" w:rsidRPr="0082290D" w:rsidRDefault="00865F50" w:rsidP="0056141C">
            <w:pPr>
              <w:jc w:val="right"/>
              <w:rPr>
                <w:sz w:val="18"/>
              </w:rPr>
            </w:pPr>
            <w:r w:rsidRPr="0082290D">
              <w:rPr>
                <w:sz w:val="18"/>
              </w:rPr>
              <w:t>68.985.000</w:t>
            </w:r>
          </w:p>
        </w:tc>
      </w:tr>
      <w:tr w:rsidR="00865F50" w:rsidRPr="0082290D" w:rsidTr="0056141C">
        <w:tc>
          <w:tcPr>
            <w:tcW w:w="2394" w:type="dxa"/>
          </w:tcPr>
          <w:p w:rsidR="00865F50" w:rsidRPr="0082290D" w:rsidRDefault="00865F50" w:rsidP="0056141C">
            <w:pPr>
              <w:rPr>
                <w:b/>
                <w:sz w:val="18"/>
              </w:rPr>
            </w:pPr>
            <w:r w:rsidRPr="0082290D">
              <w:rPr>
                <w:b/>
                <w:sz w:val="18"/>
              </w:rPr>
              <w:t xml:space="preserve">Total Modal </w:t>
            </w:r>
            <w:proofErr w:type="spellStart"/>
            <w:r w:rsidRPr="0082290D">
              <w:rPr>
                <w:b/>
                <w:sz w:val="18"/>
              </w:rPr>
              <w:t>Sendiri</w:t>
            </w:r>
            <w:proofErr w:type="spellEnd"/>
          </w:p>
        </w:tc>
        <w:tc>
          <w:tcPr>
            <w:tcW w:w="2394" w:type="dxa"/>
          </w:tcPr>
          <w:p w:rsidR="00865F50" w:rsidRPr="0082290D" w:rsidRDefault="00865F50" w:rsidP="0056141C">
            <w:pPr>
              <w:jc w:val="right"/>
              <w:rPr>
                <w:b/>
                <w:sz w:val="18"/>
              </w:rPr>
            </w:pPr>
            <w:r w:rsidRPr="0082290D">
              <w:rPr>
                <w:b/>
                <w:sz w:val="18"/>
              </w:rPr>
              <w:t>191.142.000</w:t>
            </w:r>
          </w:p>
        </w:tc>
        <w:tc>
          <w:tcPr>
            <w:tcW w:w="2394" w:type="dxa"/>
          </w:tcPr>
          <w:p w:rsidR="00865F50" w:rsidRPr="0082290D" w:rsidRDefault="00865F50" w:rsidP="0056141C">
            <w:pPr>
              <w:jc w:val="right"/>
              <w:rPr>
                <w:b/>
                <w:sz w:val="18"/>
              </w:rPr>
            </w:pPr>
            <w:r w:rsidRPr="0082290D">
              <w:rPr>
                <w:b/>
                <w:sz w:val="18"/>
              </w:rPr>
              <w:t>279.036.000</w:t>
            </w:r>
          </w:p>
        </w:tc>
        <w:tc>
          <w:tcPr>
            <w:tcW w:w="2394" w:type="dxa"/>
          </w:tcPr>
          <w:p w:rsidR="00865F50" w:rsidRPr="0082290D" w:rsidRDefault="00865F50" w:rsidP="0056141C">
            <w:pPr>
              <w:jc w:val="right"/>
              <w:rPr>
                <w:b/>
                <w:sz w:val="18"/>
              </w:rPr>
            </w:pPr>
            <w:r w:rsidRPr="0082290D">
              <w:rPr>
                <w:b/>
                <w:sz w:val="18"/>
              </w:rPr>
              <w:t>286.022.000</w:t>
            </w:r>
          </w:p>
        </w:tc>
      </w:tr>
      <w:tr w:rsidR="00865F50" w:rsidRPr="0082290D" w:rsidTr="0056141C">
        <w:tc>
          <w:tcPr>
            <w:tcW w:w="2394" w:type="dxa"/>
          </w:tcPr>
          <w:p w:rsidR="00865F50" w:rsidRPr="0082290D" w:rsidRDefault="00865F50" w:rsidP="0056141C">
            <w:pPr>
              <w:tabs>
                <w:tab w:val="left" w:pos="954"/>
              </w:tabs>
              <w:rPr>
                <w:b/>
                <w:sz w:val="18"/>
              </w:rPr>
            </w:pPr>
            <w:r w:rsidRPr="0082290D">
              <w:rPr>
                <w:b/>
                <w:sz w:val="18"/>
              </w:rPr>
              <w:t xml:space="preserve">Total </w:t>
            </w:r>
            <w:proofErr w:type="spellStart"/>
            <w:r w:rsidRPr="0082290D">
              <w:rPr>
                <w:b/>
                <w:sz w:val="18"/>
              </w:rPr>
              <w:t>Passiva</w:t>
            </w:r>
            <w:proofErr w:type="spellEnd"/>
          </w:p>
        </w:tc>
        <w:tc>
          <w:tcPr>
            <w:tcW w:w="2394" w:type="dxa"/>
          </w:tcPr>
          <w:p w:rsidR="00865F50" w:rsidRPr="0082290D" w:rsidRDefault="00865F50" w:rsidP="0056141C">
            <w:pPr>
              <w:tabs>
                <w:tab w:val="left" w:pos="954"/>
              </w:tabs>
              <w:jc w:val="right"/>
              <w:rPr>
                <w:b/>
                <w:sz w:val="18"/>
              </w:rPr>
            </w:pPr>
            <w:r w:rsidRPr="0082290D">
              <w:rPr>
                <w:b/>
                <w:sz w:val="18"/>
              </w:rPr>
              <w:t>236.392.000</w:t>
            </w:r>
          </w:p>
        </w:tc>
        <w:tc>
          <w:tcPr>
            <w:tcW w:w="2394" w:type="dxa"/>
          </w:tcPr>
          <w:p w:rsidR="00865F50" w:rsidRPr="0082290D" w:rsidRDefault="00865F50" w:rsidP="0056141C">
            <w:pPr>
              <w:tabs>
                <w:tab w:val="left" w:pos="954"/>
              </w:tabs>
              <w:jc w:val="right"/>
              <w:rPr>
                <w:b/>
                <w:sz w:val="18"/>
              </w:rPr>
            </w:pPr>
            <w:r w:rsidRPr="0082290D">
              <w:rPr>
                <w:b/>
                <w:sz w:val="18"/>
              </w:rPr>
              <w:t>355.440.000</w:t>
            </w:r>
          </w:p>
        </w:tc>
        <w:tc>
          <w:tcPr>
            <w:tcW w:w="2394" w:type="dxa"/>
          </w:tcPr>
          <w:p w:rsidR="00865F50" w:rsidRPr="0082290D" w:rsidRDefault="00865F50" w:rsidP="0056141C">
            <w:pPr>
              <w:tabs>
                <w:tab w:val="left" w:pos="954"/>
              </w:tabs>
              <w:jc w:val="right"/>
              <w:rPr>
                <w:b/>
                <w:sz w:val="18"/>
              </w:rPr>
            </w:pPr>
            <w:r w:rsidRPr="0082290D">
              <w:rPr>
                <w:b/>
                <w:sz w:val="18"/>
              </w:rPr>
              <w:t>382.307.000</w:t>
            </w:r>
          </w:p>
        </w:tc>
      </w:tr>
    </w:tbl>
    <w:p w:rsidR="00865F50" w:rsidRPr="0082290D" w:rsidRDefault="00865F50" w:rsidP="00865F50">
      <w:pPr>
        <w:autoSpaceDE w:val="0"/>
        <w:autoSpaceDN w:val="0"/>
        <w:adjustRightInd w:val="0"/>
        <w:spacing w:after="27"/>
        <w:rPr>
          <w:sz w:val="18"/>
        </w:rPr>
      </w:pPr>
      <w:proofErr w:type="spellStart"/>
      <w:proofErr w:type="gramStart"/>
      <w:r w:rsidRPr="0082290D">
        <w:rPr>
          <w:sz w:val="18"/>
        </w:rPr>
        <w:t>Sumber</w:t>
      </w:r>
      <w:proofErr w:type="spellEnd"/>
      <w:r w:rsidRPr="0082290D">
        <w:rPr>
          <w:sz w:val="18"/>
        </w:rPr>
        <w:t xml:space="preserve"> :</w:t>
      </w:r>
      <w:proofErr w:type="gramEnd"/>
      <w:r w:rsidRPr="0082290D">
        <w:rPr>
          <w:sz w:val="18"/>
        </w:rPr>
        <w:t xml:space="preserve"> Bank </w:t>
      </w:r>
      <w:proofErr w:type="spellStart"/>
      <w:r w:rsidRPr="0082290D">
        <w:rPr>
          <w:sz w:val="18"/>
        </w:rPr>
        <w:t>Mandiri</w:t>
      </w:r>
      <w:proofErr w:type="spellEnd"/>
      <w:r w:rsidRPr="0082290D">
        <w:rPr>
          <w:sz w:val="18"/>
        </w:rPr>
        <w:t xml:space="preserve"> Cab RSU</w:t>
      </w:r>
    </w:p>
    <w:p w:rsidR="00865F50" w:rsidRPr="0082290D" w:rsidRDefault="00865F50" w:rsidP="00865F50">
      <w:pPr>
        <w:tabs>
          <w:tab w:val="left" w:pos="720"/>
          <w:tab w:val="left" w:pos="1440"/>
          <w:tab w:val="left" w:pos="2160"/>
          <w:tab w:val="left" w:pos="2880"/>
          <w:tab w:val="left" w:pos="3600"/>
          <w:tab w:val="left" w:pos="4136"/>
        </w:tabs>
        <w:jc w:val="both"/>
        <w:outlineLvl w:val="0"/>
        <w:rPr>
          <w:rFonts w:ascii="Times New Roman" w:hAnsi="Times New Roman" w:cs="Times New Roman"/>
          <w:b/>
          <w:sz w:val="20"/>
          <w:szCs w:val="24"/>
        </w:rPr>
      </w:pPr>
      <w:proofErr w:type="spellStart"/>
      <w:r w:rsidRPr="0082290D">
        <w:rPr>
          <w:rFonts w:ascii="Times New Roman" w:hAnsi="Times New Roman" w:cs="Times New Roman"/>
          <w:b/>
          <w:sz w:val="20"/>
          <w:szCs w:val="24"/>
        </w:rPr>
        <w:t>Hasil</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Perhitungan</w:t>
      </w:r>
      <w:proofErr w:type="spellEnd"/>
      <w:r w:rsidRPr="0082290D">
        <w:rPr>
          <w:rFonts w:ascii="Times New Roman" w:hAnsi="Times New Roman" w:cs="Times New Roman"/>
          <w:b/>
          <w:sz w:val="20"/>
          <w:szCs w:val="24"/>
        </w:rPr>
        <w:t xml:space="preserve"> </w:t>
      </w:r>
      <w:proofErr w:type="spellStart"/>
      <w:r w:rsidRPr="0082290D">
        <w:rPr>
          <w:rFonts w:ascii="Times New Roman" w:hAnsi="Times New Roman" w:cs="Times New Roman"/>
          <w:b/>
          <w:sz w:val="20"/>
          <w:szCs w:val="24"/>
        </w:rPr>
        <w:t>Rasio</w:t>
      </w:r>
      <w:proofErr w:type="spellEnd"/>
      <w:r w:rsidRPr="0082290D">
        <w:rPr>
          <w:rFonts w:ascii="Times New Roman" w:hAnsi="Times New Roman" w:cs="Times New Roman"/>
          <w:b/>
          <w:sz w:val="20"/>
          <w:szCs w:val="24"/>
        </w:rPr>
        <w:t xml:space="preserve">: </w:t>
      </w:r>
    </w:p>
    <w:tbl>
      <w:tblPr>
        <w:tblStyle w:val="TableGrid"/>
        <w:tblW w:w="8897" w:type="dxa"/>
        <w:tblLayout w:type="fixed"/>
        <w:tblLook w:val="04A0"/>
      </w:tblPr>
      <w:tblGrid>
        <w:gridCol w:w="3085"/>
        <w:gridCol w:w="1134"/>
        <w:gridCol w:w="1134"/>
        <w:gridCol w:w="1134"/>
        <w:gridCol w:w="992"/>
        <w:gridCol w:w="1418"/>
      </w:tblGrid>
      <w:tr w:rsidR="00865F50" w:rsidRPr="0082290D" w:rsidTr="00CE7C1F">
        <w:trPr>
          <w:trHeight w:val="513"/>
        </w:trPr>
        <w:tc>
          <w:tcPr>
            <w:tcW w:w="3085"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Jenis</w:t>
            </w:r>
            <w:proofErr w:type="spellEnd"/>
            <w:r w:rsidRPr="0082290D">
              <w:rPr>
                <w:rFonts w:ascii="Times New Roman" w:hAnsi="Times New Roman" w:cs="Times New Roman"/>
                <w:bCs/>
                <w:color w:val="000000" w:themeColor="text1"/>
                <w:sz w:val="16"/>
                <w:szCs w:val="20"/>
              </w:rPr>
              <w:t xml:space="preserve"> </w:t>
            </w:r>
            <w:proofErr w:type="spellStart"/>
            <w:r w:rsidRPr="0082290D">
              <w:rPr>
                <w:rFonts w:ascii="Times New Roman" w:hAnsi="Times New Roman" w:cs="Times New Roman"/>
                <w:bCs/>
                <w:color w:val="000000" w:themeColor="text1"/>
                <w:sz w:val="16"/>
                <w:szCs w:val="20"/>
              </w:rPr>
              <w:t>Rasio</w:t>
            </w:r>
            <w:proofErr w:type="spellEnd"/>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2011</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2012</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2013</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Standar</w:t>
            </w:r>
            <w:proofErr w:type="spellEnd"/>
            <w:r w:rsidRPr="0082290D">
              <w:rPr>
                <w:rFonts w:ascii="Times New Roman" w:hAnsi="Times New Roman" w:cs="Times New Roman"/>
                <w:bCs/>
                <w:color w:val="000000" w:themeColor="text1"/>
                <w:sz w:val="16"/>
                <w:szCs w:val="20"/>
              </w:rPr>
              <w:t xml:space="preserve"> Camels</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Keterangan</w:t>
            </w:r>
            <w:proofErr w:type="spellEnd"/>
          </w:p>
        </w:tc>
      </w:tr>
      <w:tr w:rsidR="00865F50" w:rsidRPr="0082290D" w:rsidTr="0056141C">
        <w:trPr>
          <w:trHeight w:val="264"/>
        </w:trPr>
        <w:tc>
          <w:tcPr>
            <w:tcW w:w="3085" w:type="dxa"/>
            <w:vMerge w:val="restart"/>
          </w:tcPr>
          <w:p w:rsidR="00865F50" w:rsidRPr="0082290D" w:rsidRDefault="00865F50" w:rsidP="0056141C">
            <w:pPr>
              <w:spacing w:line="480" w:lineRule="auto"/>
              <w:rPr>
                <w:rFonts w:ascii="Times New Roman" w:hAnsi="Times New Roman" w:cs="Times New Roman"/>
                <w:sz w:val="16"/>
                <w:szCs w:val="20"/>
              </w:rPr>
            </w:pPr>
            <w:proofErr w:type="spellStart"/>
            <w:r w:rsidRPr="0082290D">
              <w:rPr>
                <w:rFonts w:ascii="Times New Roman" w:hAnsi="Times New Roman" w:cs="Times New Roman"/>
                <w:sz w:val="16"/>
                <w:szCs w:val="20"/>
              </w:rPr>
              <w:t>Rasio</w:t>
            </w:r>
            <w:proofErr w:type="spellEnd"/>
            <w:r w:rsidRPr="0082290D">
              <w:rPr>
                <w:rFonts w:ascii="Times New Roman" w:hAnsi="Times New Roman" w:cs="Times New Roman"/>
                <w:sz w:val="16"/>
                <w:szCs w:val="20"/>
              </w:rPr>
              <w:t xml:space="preserve"> </w:t>
            </w:r>
            <w:proofErr w:type="spellStart"/>
            <w:r w:rsidRPr="0082290D">
              <w:rPr>
                <w:rFonts w:ascii="Times New Roman" w:hAnsi="Times New Roman" w:cs="Times New Roman"/>
                <w:sz w:val="16"/>
                <w:szCs w:val="20"/>
              </w:rPr>
              <w:t>Likuiditas</w:t>
            </w:r>
            <w:proofErr w:type="spellEnd"/>
          </w:p>
          <w:p w:rsidR="00865F50" w:rsidRPr="0082290D" w:rsidRDefault="00865F50" w:rsidP="0056141C">
            <w:pPr>
              <w:pStyle w:val="ListParagraph"/>
              <w:numPr>
                <w:ilvl w:val="0"/>
                <w:numId w:val="15"/>
              </w:num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Current Ratio</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r>
      <w:tr w:rsidR="00865F50" w:rsidRPr="0082290D" w:rsidTr="0056141C">
        <w:tc>
          <w:tcPr>
            <w:tcW w:w="3085" w:type="dxa"/>
            <w:vMerge/>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308,76%</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424,62%</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458,33%</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&gt;200%</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Baik</w:t>
            </w:r>
            <w:proofErr w:type="spellEnd"/>
          </w:p>
        </w:tc>
      </w:tr>
      <w:tr w:rsidR="00865F50" w:rsidRPr="0082290D" w:rsidTr="0056141C">
        <w:tc>
          <w:tcPr>
            <w:tcW w:w="3085" w:type="dxa"/>
            <w:vMerge w:val="restart"/>
          </w:tcPr>
          <w:p w:rsidR="00865F50" w:rsidRPr="0082290D" w:rsidRDefault="00865F50" w:rsidP="0056141C">
            <w:pPr>
              <w:spacing w:line="480" w:lineRule="auto"/>
              <w:rPr>
                <w:rFonts w:ascii="Times New Roman" w:hAnsi="Times New Roman" w:cs="Times New Roman"/>
                <w:sz w:val="16"/>
                <w:szCs w:val="20"/>
              </w:rPr>
            </w:pPr>
            <w:proofErr w:type="spellStart"/>
            <w:r w:rsidRPr="0082290D">
              <w:rPr>
                <w:rFonts w:ascii="Times New Roman" w:hAnsi="Times New Roman" w:cs="Times New Roman"/>
                <w:sz w:val="16"/>
                <w:szCs w:val="20"/>
              </w:rPr>
              <w:t>Rasio</w:t>
            </w:r>
            <w:proofErr w:type="spellEnd"/>
            <w:r w:rsidRPr="0082290D">
              <w:rPr>
                <w:rFonts w:ascii="Times New Roman" w:hAnsi="Times New Roman" w:cs="Times New Roman"/>
                <w:sz w:val="16"/>
                <w:szCs w:val="20"/>
              </w:rPr>
              <w:t xml:space="preserve"> </w:t>
            </w:r>
            <w:proofErr w:type="spellStart"/>
            <w:r w:rsidRPr="0082290D">
              <w:rPr>
                <w:rFonts w:ascii="Times New Roman" w:hAnsi="Times New Roman" w:cs="Times New Roman"/>
                <w:sz w:val="16"/>
                <w:szCs w:val="20"/>
              </w:rPr>
              <w:t>Solvabilitas</w:t>
            </w:r>
            <w:proofErr w:type="spellEnd"/>
          </w:p>
          <w:p w:rsidR="00865F50" w:rsidRPr="0082290D" w:rsidRDefault="00865F50" w:rsidP="0056141C">
            <w:pPr>
              <w:pStyle w:val="ListParagraph"/>
              <w:numPr>
                <w:ilvl w:val="0"/>
                <w:numId w:val="16"/>
              </w:num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Debt to Asset Ratio</w:t>
            </w:r>
          </w:p>
          <w:p w:rsidR="00865F50" w:rsidRPr="0082290D" w:rsidRDefault="00865F50" w:rsidP="0056141C">
            <w:pPr>
              <w:pStyle w:val="ListParagraph"/>
              <w:numPr>
                <w:ilvl w:val="0"/>
                <w:numId w:val="16"/>
              </w:num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Debt to Equity Ratio</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r>
      <w:tr w:rsidR="00865F50" w:rsidRPr="0082290D" w:rsidTr="0056141C">
        <w:tc>
          <w:tcPr>
            <w:tcW w:w="3085" w:type="dxa"/>
            <w:vMerge/>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17,46%</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23,88%</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22,85%</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&lt;50%</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Baik</w:t>
            </w:r>
            <w:proofErr w:type="spellEnd"/>
          </w:p>
        </w:tc>
      </w:tr>
      <w:tr w:rsidR="00865F50" w:rsidRPr="0082290D" w:rsidTr="0056141C">
        <w:tc>
          <w:tcPr>
            <w:tcW w:w="3085" w:type="dxa"/>
            <w:vMerge/>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23,67%</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27,38%</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34,36%</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&lt;50%</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Baik</w:t>
            </w:r>
            <w:proofErr w:type="spellEnd"/>
          </w:p>
        </w:tc>
      </w:tr>
      <w:tr w:rsidR="00865F50" w:rsidRPr="0082290D" w:rsidTr="0056141C">
        <w:tc>
          <w:tcPr>
            <w:tcW w:w="3085" w:type="dxa"/>
            <w:vMerge w:val="restart"/>
          </w:tcPr>
          <w:p w:rsidR="00865F50" w:rsidRPr="0082290D" w:rsidRDefault="00865F50" w:rsidP="0056141C">
            <w:pPr>
              <w:spacing w:line="480" w:lineRule="auto"/>
              <w:rPr>
                <w:rFonts w:ascii="Times New Roman" w:hAnsi="Times New Roman" w:cs="Times New Roman"/>
                <w:sz w:val="16"/>
                <w:szCs w:val="20"/>
              </w:rPr>
            </w:pPr>
            <w:proofErr w:type="spellStart"/>
            <w:r w:rsidRPr="0082290D">
              <w:rPr>
                <w:rFonts w:ascii="Times New Roman" w:hAnsi="Times New Roman" w:cs="Times New Roman"/>
                <w:sz w:val="16"/>
                <w:szCs w:val="20"/>
              </w:rPr>
              <w:t>Rasio</w:t>
            </w:r>
            <w:proofErr w:type="spellEnd"/>
            <w:r w:rsidRPr="0082290D">
              <w:rPr>
                <w:rFonts w:ascii="Times New Roman" w:hAnsi="Times New Roman" w:cs="Times New Roman"/>
                <w:sz w:val="16"/>
                <w:szCs w:val="20"/>
              </w:rPr>
              <w:t xml:space="preserve"> </w:t>
            </w:r>
            <w:proofErr w:type="spellStart"/>
            <w:r w:rsidRPr="0082290D">
              <w:rPr>
                <w:rFonts w:ascii="Times New Roman" w:hAnsi="Times New Roman" w:cs="Times New Roman"/>
                <w:sz w:val="16"/>
                <w:szCs w:val="20"/>
              </w:rPr>
              <w:t>Rentabilitas</w:t>
            </w:r>
            <w:proofErr w:type="spellEnd"/>
          </w:p>
          <w:p w:rsidR="00865F50" w:rsidRPr="0082290D" w:rsidRDefault="00865F50" w:rsidP="0056141C">
            <w:pPr>
              <w:pStyle w:val="ListParagraph"/>
              <w:numPr>
                <w:ilvl w:val="0"/>
                <w:numId w:val="17"/>
              </w:num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ROA</w:t>
            </w:r>
          </w:p>
          <w:p w:rsidR="00865F50" w:rsidRPr="0082290D" w:rsidRDefault="00865F50" w:rsidP="0056141C">
            <w:pPr>
              <w:pStyle w:val="ListParagraph"/>
              <w:numPr>
                <w:ilvl w:val="0"/>
                <w:numId w:val="17"/>
              </w:num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ROE</w:t>
            </w:r>
          </w:p>
          <w:p w:rsidR="00865F50" w:rsidRPr="0082290D" w:rsidRDefault="00865F50" w:rsidP="0056141C">
            <w:pPr>
              <w:pStyle w:val="ListParagraph"/>
              <w:numPr>
                <w:ilvl w:val="0"/>
                <w:numId w:val="17"/>
              </w:num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BOPO</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r>
      <w:tr w:rsidR="00865F50" w:rsidRPr="0082290D" w:rsidTr="0056141C">
        <w:tc>
          <w:tcPr>
            <w:tcW w:w="3085" w:type="dxa"/>
            <w:vMerge/>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20,82%</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24,42%</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19,14%</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&gt;1,5%</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Baik</w:t>
            </w:r>
            <w:proofErr w:type="spellEnd"/>
          </w:p>
        </w:tc>
      </w:tr>
      <w:tr w:rsidR="00865F50" w:rsidRPr="0082290D" w:rsidTr="0056141C">
        <w:tc>
          <w:tcPr>
            <w:tcW w:w="3085" w:type="dxa"/>
            <w:vMerge/>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22,21%</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23,36%</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24,12%</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&gt;15%</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Baik</w:t>
            </w:r>
            <w:proofErr w:type="spellEnd"/>
          </w:p>
        </w:tc>
      </w:tr>
      <w:tr w:rsidR="00865F50" w:rsidRPr="0082290D" w:rsidTr="00CE7C1F">
        <w:trPr>
          <w:trHeight w:val="276"/>
        </w:trPr>
        <w:tc>
          <w:tcPr>
            <w:tcW w:w="3085" w:type="dxa"/>
            <w:vMerge/>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68,14%</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52,51%</w:t>
            </w:r>
          </w:p>
        </w:tc>
        <w:tc>
          <w:tcPr>
            <w:tcW w:w="1134"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52,17%</w:t>
            </w:r>
          </w:p>
        </w:tc>
        <w:tc>
          <w:tcPr>
            <w:tcW w:w="992"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r w:rsidRPr="0082290D">
              <w:rPr>
                <w:rFonts w:ascii="Times New Roman" w:hAnsi="Times New Roman" w:cs="Times New Roman"/>
                <w:bCs/>
                <w:color w:val="000000" w:themeColor="text1"/>
                <w:sz w:val="16"/>
                <w:szCs w:val="20"/>
              </w:rPr>
              <w:t>&lt; 60%</w:t>
            </w:r>
          </w:p>
        </w:tc>
        <w:tc>
          <w:tcPr>
            <w:tcW w:w="1418" w:type="dxa"/>
          </w:tcPr>
          <w:p w:rsidR="00865F50" w:rsidRPr="0082290D" w:rsidRDefault="00865F50" w:rsidP="0056141C">
            <w:pPr>
              <w:spacing w:line="480" w:lineRule="auto"/>
              <w:jc w:val="both"/>
              <w:rPr>
                <w:rFonts w:ascii="Times New Roman" w:hAnsi="Times New Roman" w:cs="Times New Roman"/>
                <w:bCs/>
                <w:color w:val="000000" w:themeColor="text1"/>
                <w:sz w:val="16"/>
                <w:szCs w:val="20"/>
              </w:rPr>
            </w:pPr>
            <w:proofErr w:type="spellStart"/>
            <w:r w:rsidRPr="0082290D">
              <w:rPr>
                <w:rFonts w:ascii="Times New Roman" w:hAnsi="Times New Roman" w:cs="Times New Roman"/>
                <w:bCs/>
                <w:color w:val="000000" w:themeColor="text1"/>
                <w:sz w:val="16"/>
                <w:szCs w:val="20"/>
              </w:rPr>
              <w:t>Kurang</w:t>
            </w:r>
            <w:proofErr w:type="spellEnd"/>
            <w:r w:rsidRPr="0082290D">
              <w:rPr>
                <w:rFonts w:ascii="Times New Roman" w:hAnsi="Times New Roman" w:cs="Times New Roman"/>
                <w:bCs/>
                <w:color w:val="000000" w:themeColor="text1"/>
                <w:sz w:val="16"/>
                <w:szCs w:val="20"/>
              </w:rPr>
              <w:t xml:space="preserve"> </w:t>
            </w:r>
            <w:proofErr w:type="spellStart"/>
            <w:r w:rsidRPr="0082290D">
              <w:rPr>
                <w:rFonts w:ascii="Times New Roman" w:hAnsi="Times New Roman" w:cs="Times New Roman"/>
                <w:bCs/>
                <w:color w:val="000000" w:themeColor="text1"/>
                <w:sz w:val="16"/>
                <w:szCs w:val="20"/>
              </w:rPr>
              <w:t>Baik</w:t>
            </w:r>
            <w:proofErr w:type="spellEnd"/>
          </w:p>
        </w:tc>
      </w:tr>
    </w:tbl>
    <w:p w:rsidR="00865F50" w:rsidRPr="0082290D" w:rsidRDefault="00865F50" w:rsidP="00865F50">
      <w:pPr>
        <w:jc w:val="both"/>
        <w:rPr>
          <w:rFonts w:ascii="Times New Roman" w:hAnsi="Times New Roman" w:cs="Times New Roman"/>
          <w:bCs/>
          <w:sz w:val="20"/>
          <w:szCs w:val="24"/>
        </w:rPr>
      </w:pPr>
      <w:proofErr w:type="spellStart"/>
      <w:proofErr w:type="gramStart"/>
      <w:r w:rsidRPr="0082290D">
        <w:rPr>
          <w:rFonts w:ascii="Times New Roman" w:hAnsi="Times New Roman" w:cs="Times New Roman"/>
          <w:bCs/>
          <w:sz w:val="20"/>
          <w:szCs w:val="24"/>
        </w:rPr>
        <w:t>Sumber</w:t>
      </w:r>
      <w:proofErr w:type="spellEnd"/>
      <w:r w:rsidRPr="0082290D">
        <w:rPr>
          <w:rFonts w:ascii="Times New Roman" w:hAnsi="Times New Roman" w:cs="Times New Roman"/>
          <w:bCs/>
          <w:sz w:val="20"/>
          <w:szCs w:val="24"/>
        </w:rPr>
        <w:t xml:space="preserve"> :</w:t>
      </w:r>
      <w:proofErr w:type="gram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Hasil</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Perhitungan</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sesuai</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rumus</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dan</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kebijakan</w:t>
      </w:r>
      <w:proofErr w:type="spellEnd"/>
      <w:r w:rsidRPr="0082290D">
        <w:rPr>
          <w:rFonts w:ascii="Times New Roman" w:hAnsi="Times New Roman" w:cs="Times New Roman"/>
          <w:bCs/>
          <w:sz w:val="20"/>
          <w:szCs w:val="24"/>
        </w:rPr>
        <w:t xml:space="preserve"> yang </w:t>
      </w:r>
      <w:proofErr w:type="spellStart"/>
      <w:r w:rsidRPr="0082290D">
        <w:rPr>
          <w:rFonts w:ascii="Times New Roman" w:hAnsi="Times New Roman" w:cs="Times New Roman"/>
          <w:bCs/>
          <w:sz w:val="20"/>
          <w:szCs w:val="24"/>
        </w:rPr>
        <w:t>ditetapkan</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analisis</w:t>
      </w:r>
      <w:proofErr w:type="spellEnd"/>
      <w:r w:rsidRPr="0082290D">
        <w:rPr>
          <w:rFonts w:ascii="Times New Roman" w:hAnsi="Times New Roman" w:cs="Times New Roman"/>
          <w:bCs/>
          <w:sz w:val="20"/>
          <w:szCs w:val="24"/>
        </w:rPr>
        <w:t xml:space="preserve"> camels)</w:t>
      </w:r>
    </w:p>
    <w:p w:rsidR="009D24A9" w:rsidRDefault="00865F50" w:rsidP="00CE7C1F">
      <w:pPr>
        <w:spacing w:line="240" w:lineRule="auto"/>
        <w:ind w:firstLine="720"/>
        <w:jc w:val="both"/>
        <w:rPr>
          <w:rFonts w:ascii="Times New Roman" w:hAnsi="Times New Roman" w:cs="Times New Roman"/>
          <w:sz w:val="24"/>
          <w:szCs w:val="24"/>
        </w:rPr>
      </w:pPr>
      <w:proofErr w:type="spellStart"/>
      <w:r w:rsidRPr="0082290D">
        <w:rPr>
          <w:rFonts w:ascii="Times New Roman" w:hAnsi="Times New Roman" w:cs="Times New Roman"/>
          <w:bCs/>
          <w:sz w:val="20"/>
          <w:szCs w:val="24"/>
        </w:rPr>
        <w:t>Hasil</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perhitungan</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rasio</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diatas</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menunjukkan</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kinerja</w:t>
      </w:r>
      <w:proofErr w:type="spellEnd"/>
      <w:r w:rsidRPr="0082290D">
        <w:rPr>
          <w:rFonts w:ascii="Times New Roman" w:hAnsi="Times New Roman" w:cs="Times New Roman"/>
          <w:bCs/>
          <w:sz w:val="20"/>
          <w:szCs w:val="24"/>
        </w:rPr>
        <w:t xml:space="preserve"> bank </w:t>
      </w:r>
      <w:proofErr w:type="spellStart"/>
      <w:r w:rsidRPr="0082290D">
        <w:rPr>
          <w:rFonts w:ascii="Times New Roman" w:hAnsi="Times New Roman" w:cs="Times New Roman"/>
          <w:bCs/>
          <w:sz w:val="20"/>
          <w:szCs w:val="24"/>
        </w:rPr>
        <w:t>mandiri</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baik</w:t>
      </w:r>
      <w:proofErr w:type="spellEnd"/>
      <w:r w:rsidRPr="0082290D">
        <w:rPr>
          <w:rFonts w:ascii="Times New Roman" w:hAnsi="Times New Roman" w:cs="Times New Roman"/>
          <w:bCs/>
          <w:sz w:val="20"/>
          <w:szCs w:val="24"/>
        </w:rPr>
        <w:t xml:space="preserve">, </w:t>
      </w:r>
      <w:proofErr w:type="spellStart"/>
      <w:proofErr w:type="gramStart"/>
      <w:r w:rsidRPr="0082290D">
        <w:rPr>
          <w:rFonts w:ascii="Times New Roman" w:hAnsi="Times New Roman" w:cs="Times New Roman"/>
          <w:bCs/>
          <w:sz w:val="20"/>
          <w:szCs w:val="24"/>
        </w:rPr>
        <w:t>akan</w:t>
      </w:r>
      <w:proofErr w:type="spellEnd"/>
      <w:proofErr w:type="gram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tetapi</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bermasalah</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di</w:t>
      </w:r>
      <w:proofErr w:type="spellEnd"/>
      <w:r w:rsidRPr="0082290D">
        <w:rPr>
          <w:rFonts w:ascii="Times New Roman" w:hAnsi="Times New Roman" w:cs="Times New Roman"/>
          <w:bCs/>
          <w:sz w:val="20"/>
          <w:szCs w:val="24"/>
        </w:rPr>
        <w:t xml:space="preserve"> </w:t>
      </w:r>
      <w:proofErr w:type="spellStart"/>
      <w:r w:rsidRPr="0082290D">
        <w:rPr>
          <w:rFonts w:ascii="Times New Roman" w:hAnsi="Times New Roman" w:cs="Times New Roman"/>
          <w:bCs/>
          <w:sz w:val="20"/>
          <w:szCs w:val="24"/>
        </w:rPr>
        <w:t>rasio</w:t>
      </w:r>
      <w:proofErr w:type="spellEnd"/>
      <w:r w:rsidRPr="0082290D">
        <w:rPr>
          <w:rFonts w:ascii="Times New Roman" w:hAnsi="Times New Roman" w:cs="Times New Roman"/>
          <w:bCs/>
          <w:sz w:val="20"/>
          <w:szCs w:val="24"/>
        </w:rPr>
        <w:t xml:space="preserve"> BOPO. </w:t>
      </w:r>
      <w:proofErr w:type="spellStart"/>
      <w:proofErr w:type="gramStart"/>
      <w:r w:rsidRPr="0082290D">
        <w:rPr>
          <w:rFonts w:ascii="Times New Roman" w:hAnsi="Times New Roman" w:cs="Times New Roman"/>
          <w:sz w:val="20"/>
          <w:szCs w:val="24"/>
        </w:rPr>
        <w:t>Untuk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BOPO </w:t>
      </w:r>
      <w:proofErr w:type="spellStart"/>
      <w:r w:rsidRPr="0082290D">
        <w:rPr>
          <w:rFonts w:ascii="Times New Roman" w:hAnsi="Times New Roman" w:cs="Times New Roman"/>
          <w:sz w:val="20"/>
          <w:szCs w:val="24"/>
        </w:rPr>
        <w:t>merupakan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salah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satu</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pengukuran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tingkat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efisiensi</w:t>
      </w:r>
      <w:proofErr w:type="spellEnd"/>
      <w:r w:rsidRPr="0082290D">
        <w:rPr>
          <w:rFonts w:ascii="Times New Roman" w:hAnsi="Times New Roman" w:cs="Times New Roman"/>
          <w:sz w:val="20"/>
          <w:szCs w:val="24"/>
        </w:rPr>
        <w:t xml:space="preserve"> industry </w:t>
      </w:r>
      <w:proofErr w:type="spellStart"/>
      <w:r w:rsidRPr="0082290D">
        <w:rPr>
          <w:rFonts w:ascii="Times New Roman" w:hAnsi="Times New Roman" w:cs="Times New Roman"/>
          <w:sz w:val="20"/>
          <w:szCs w:val="24"/>
        </w:rPr>
        <w:t>perbankan</w:t>
      </w:r>
      <w:proofErr w:type="spellEnd"/>
      <w:r w:rsidRPr="0082290D">
        <w:rPr>
          <w:rFonts w:ascii="Times New Roman" w:hAnsi="Times New Roman" w:cs="Times New Roman"/>
          <w:sz w:val="20"/>
          <w:szCs w:val="24"/>
        </w:rPr>
        <w:t>.</w:t>
      </w:r>
      <w:proofErr w:type="gramEnd"/>
      <w:r w:rsidRPr="0082290D">
        <w:rPr>
          <w:rFonts w:ascii="Times New Roman" w:hAnsi="Times New Roman" w:cs="Times New Roman"/>
          <w:sz w:val="20"/>
          <w:szCs w:val="24"/>
        </w:rPr>
        <w:t xml:space="preserve"> Bank </w:t>
      </w:r>
      <w:proofErr w:type="spellStart"/>
      <w:r w:rsidRPr="0082290D">
        <w:rPr>
          <w:rFonts w:ascii="Times New Roman" w:hAnsi="Times New Roman" w:cs="Times New Roman"/>
          <w:sz w:val="20"/>
          <w:szCs w:val="24"/>
        </w:rPr>
        <w:t>Indsonesia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menargetkan</w:t>
      </w:r>
      <w:proofErr w:type="spellEnd"/>
      <w:r w:rsidRPr="0082290D">
        <w:rPr>
          <w:rFonts w:ascii="Times New Roman" w:hAnsi="Times New Roman" w:cs="Times New Roman"/>
          <w:sz w:val="20"/>
          <w:szCs w:val="24"/>
        </w:rPr>
        <w:t xml:space="preserve"> level BOPO yang </w:t>
      </w:r>
      <w:proofErr w:type="spellStart"/>
      <w:r w:rsidRPr="0082290D">
        <w:rPr>
          <w:rFonts w:ascii="Times New Roman" w:hAnsi="Times New Roman" w:cs="Times New Roman"/>
          <w:sz w:val="20"/>
          <w:szCs w:val="24"/>
        </w:rPr>
        <w:t>baik</w:t>
      </w:r>
      <w:proofErr w:type="spellEnd"/>
      <w:r w:rsidRPr="0082290D">
        <w:rPr>
          <w:rFonts w:ascii="Times New Roman" w:hAnsi="Times New Roman" w:cs="Times New Roman"/>
          <w:sz w:val="20"/>
          <w:szCs w:val="24"/>
        </w:rPr>
        <w:t xml:space="preserve"> 60-70%, </w:t>
      </w:r>
      <w:proofErr w:type="spellStart"/>
      <w:r w:rsidRPr="0082290D">
        <w:rPr>
          <w:rFonts w:ascii="Times New Roman" w:hAnsi="Times New Roman" w:cs="Times New Roman"/>
          <w:sz w:val="20"/>
          <w:szCs w:val="24"/>
        </w:rPr>
        <w:t>bahkan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kemungkinan</w:t>
      </w:r>
      <w:proofErr w:type="spellEnd"/>
      <w:r w:rsidRPr="0082290D">
        <w:rPr>
          <w:rFonts w:ascii="Times New Roman" w:hAnsi="Times New Roman" w:cs="Times New Roman"/>
          <w:sz w:val="20"/>
          <w:szCs w:val="24"/>
        </w:rPr>
        <w:t xml:space="preserve"> BOPO </w:t>
      </w:r>
      <w:proofErr w:type="spellStart"/>
      <w:proofErr w:type="gramStart"/>
      <w:r w:rsidRPr="0082290D">
        <w:rPr>
          <w:rFonts w:ascii="Times New Roman" w:hAnsi="Times New Roman" w:cs="Times New Roman"/>
          <w:sz w:val="20"/>
          <w:szCs w:val="24"/>
        </w:rPr>
        <w:t>akan</w:t>
      </w:r>
      <w:proofErr w:type="spellEnd"/>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disetarakan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dengan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asia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tenggara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yaitu</w:t>
      </w:r>
      <w:proofErr w:type="spellEnd"/>
      <w:r w:rsidRPr="0082290D">
        <w:rPr>
          <w:rFonts w:ascii="Times New Roman" w:hAnsi="Times New Roman" w:cs="Times New Roman"/>
          <w:sz w:val="20"/>
          <w:szCs w:val="24"/>
        </w:rPr>
        <w:t xml:space="preserve"> 50 – 60% </w:t>
      </w:r>
      <w:proofErr w:type="spellStart"/>
      <w:r w:rsidRPr="0082290D">
        <w:rPr>
          <w:rFonts w:ascii="Times New Roman" w:hAnsi="Times New Roman" w:cs="Times New Roman"/>
          <w:sz w:val="20"/>
          <w:szCs w:val="24"/>
        </w:rPr>
        <w:t>yaitu</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menggambarkan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yang </w:t>
      </w:r>
      <w:proofErr w:type="spellStart"/>
      <w:r w:rsidRPr="0082290D">
        <w:rPr>
          <w:rFonts w:ascii="Times New Roman" w:hAnsi="Times New Roman" w:cs="Times New Roman"/>
          <w:sz w:val="20"/>
          <w:szCs w:val="24"/>
        </w:rPr>
        <w:t>sangat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besar</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namun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efisien</w:t>
      </w:r>
      <w:proofErr w:type="spellEnd"/>
      <w:r w:rsidRPr="0082290D">
        <w:rPr>
          <w:rFonts w:ascii="Times New Roman" w:hAnsi="Times New Roman" w:cs="Times New Roman"/>
          <w:sz w:val="20"/>
          <w:szCs w:val="24"/>
        </w:rPr>
        <w:t xml:space="preserve">. </w:t>
      </w:r>
      <w:proofErr w:type="spellStart"/>
      <w:proofErr w:type="gram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ini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nilai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BOPO </w:t>
      </w:r>
      <w:proofErr w:type="spellStart"/>
      <w:r w:rsidRPr="0082290D">
        <w:rPr>
          <w:rFonts w:ascii="Times New Roman" w:hAnsi="Times New Roman" w:cs="Times New Roman"/>
          <w:sz w:val="20"/>
          <w:szCs w:val="24"/>
        </w:rPr>
        <w:t>di</w:t>
      </w:r>
      <w:proofErr w:type="spellEnd"/>
      <w:r w:rsidRPr="0082290D">
        <w:rPr>
          <w:rFonts w:ascii="Times New Roman" w:hAnsi="Times New Roman" w:cs="Times New Roman"/>
          <w:sz w:val="20"/>
          <w:szCs w:val="24"/>
        </w:rPr>
        <w:t xml:space="preserve"> Bank </w:t>
      </w:r>
      <w:proofErr w:type="spellStart"/>
      <w:r w:rsidRPr="0082290D">
        <w:rPr>
          <w:rFonts w:ascii="Times New Roman" w:hAnsi="Times New Roman" w:cs="Times New Roman"/>
          <w:sz w:val="20"/>
          <w:szCs w:val="24"/>
        </w:rPr>
        <w:t>Mandiri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Cabang</w:t>
      </w:r>
      <w:proofErr w:type="spellEnd"/>
      <w:r w:rsidRPr="0082290D">
        <w:rPr>
          <w:rFonts w:ascii="Times New Roman" w:hAnsi="Times New Roman" w:cs="Times New Roman"/>
          <w:sz w:val="20"/>
          <w:szCs w:val="24"/>
        </w:rPr>
        <w:t xml:space="preserve"> RSU Palembang </w:t>
      </w:r>
      <w:proofErr w:type="spellStart"/>
      <w:r w:rsidRPr="0082290D">
        <w:rPr>
          <w:rFonts w:ascii="Times New Roman" w:hAnsi="Times New Roman" w:cs="Times New Roman"/>
          <w:sz w:val="20"/>
          <w:szCs w:val="24"/>
        </w:rPr>
        <w:t>kurang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baik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menekan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biaya-biaya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operasional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Cabang</w:t>
      </w:r>
      <w:proofErr w:type="spellEnd"/>
      <w:r w:rsidRPr="0082290D">
        <w:rPr>
          <w:rFonts w:ascii="Times New Roman" w:hAnsi="Times New Roman" w:cs="Times New Roman"/>
          <w:sz w:val="20"/>
          <w:szCs w:val="24"/>
        </w:rPr>
        <w:t>.</w:t>
      </w:r>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Walaupun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setiap</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mengalami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peningkatan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yaitu</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ditahun</w:t>
      </w:r>
      <w:proofErr w:type="spellEnd"/>
      <w:r w:rsidRPr="0082290D">
        <w:rPr>
          <w:rFonts w:ascii="Times New Roman" w:hAnsi="Times New Roman" w:cs="Times New Roman"/>
          <w:sz w:val="20"/>
          <w:szCs w:val="24"/>
        </w:rPr>
        <w:t xml:space="preserve"> 2011 </w:t>
      </w:r>
      <w:proofErr w:type="spellStart"/>
      <w:r w:rsidRPr="0082290D">
        <w:rPr>
          <w:rFonts w:ascii="Times New Roman" w:hAnsi="Times New Roman" w:cs="Times New Roman"/>
          <w:sz w:val="20"/>
          <w:szCs w:val="24"/>
        </w:rPr>
        <w:t>sebesar</w:t>
      </w:r>
      <w:proofErr w:type="spellEnd"/>
      <w:r w:rsidRPr="0082290D">
        <w:rPr>
          <w:rFonts w:ascii="Times New Roman" w:hAnsi="Times New Roman" w:cs="Times New Roman"/>
          <w:sz w:val="20"/>
          <w:szCs w:val="24"/>
        </w:rPr>
        <w:t xml:space="preserve"> 68,14%, </w:t>
      </w:r>
      <w:proofErr w:type="spell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2012 </w:t>
      </w:r>
      <w:proofErr w:type="spellStart"/>
      <w:r w:rsidRPr="0082290D">
        <w:rPr>
          <w:rFonts w:ascii="Times New Roman" w:hAnsi="Times New Roman" w:cs="Times New Roman"/>
          <w:sz w:val="20"/>
          <w:szCs w:val="24"/>
        </w:rPr>
        <w:t>sebesar</w:t>
      </w:r>
      <w:proofErr w:type="spellEnd"/>
      <w:r w:rsidRPr="0082290D">
        <w:rPr>
          <w:rFonts w:ascii="Times New Roman" w:hAnsi="Times New Roman" w:cs="Times New Roman"/>
          <w:sz w:val="20"/>
          <w:szCs w:val="24"/>
        </w:rPr>
        <w:t xml:space="preserve"> 24,99%,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2013 </w:t>
      </w:r>
      <w:proofErr w:type="spellStart"/>
      <w:r w:rsidRPr="0082290D">
        <w:rPr>
          <w:rFonts w:ascii="Times New Roman" w:hAnsi="Times New Roman" w:cs="Times New Roman"/>
          <w:sz w:val="20"/>
          <w:szCs w:val="24"/>
        </w:rPr>
        <w:t>sebesar</w:t>
      </w:r>
      <w:proofErr w:type="spellEnd"/>
      <w:r w:rsidRPr="0082290D">
        <w:rPr>
          <w:rFonts w:ascii="Times New Roman" w:hAnsi="Times New Roman" w:cs="Times New Roman"/>
          <w:sz w:val="20"/>
          <w:szCs w:val="24"/>
        </w:rPr>
        <w:t xml:space="preserve"> 52,17%,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tetap</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selalu</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melakukan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perbaikan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merevieuw</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hasil</w:t>
      </w:r>
      <w:proofErr w:type="spellEnd"/>
      <w:r w:rsidRPr="0082290D">
        <w:rPr>
          <w:rFonts w:ascii="Times New Roman" w:hAnsi="Times New Roman" w:cs="Times New Roman"/>
          <w:sz w:val="20"/>
          <w:szCs w:val="24"/>
        </w:rPr>
        <w:t xml:space="preserve"> yang </w:t>
      </w:r>
      <w:proofErr w:type="spellStart"/>
      <w:r w:rsidRPr="0082290D">
        <w:rPr>
          <w:rFonts w:ascii="Times New Roman" w:hAnsi="Times New Roman" w:cs="Times New Roman"/>
          <w:sz w:val="20"/>
          <w:szCs w:val="24"/>
        </w:rPr>
        <w:t>di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peroleh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setiap</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Karena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manajemen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tentunya</w:t>
      </w:r>
      <w:proofErr w:type="spellEnd"/>
      <w:r w:rsidRPr="0082290D">
        <w:rPr>
          <w:rFonts w:ascii="Times New Roman" w:hAnsi="Times New Roman" w:cs="Times New Roman"/>
          <w:sz w:val="20"/>
          <w:szCs w:val="24"/>
        </w:rPr>
        <w:t xml:space="preserve"> </w:t>
      </w:r>
      <w:proofErr w:type="spellStart"/>
      <w:proofErr w:type="gramStart"/>
      <w:r w:rsidRPr="0082290D">
        <w:rPr>
          <w:rFonts w:ascii="Times New Roman" w:hAnsi="Times New Roman" w:cs="Times New Roman"/>
          <w:sz w:val="20"/>
          <w:szCs w:val="24"/>
        </w:rPr>
        <w:t>akan</w:t>
      </w:r>
      <w:proofErr w:type="spellEnd"/>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selalu</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memonitor</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karyawannya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untuk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maksimal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bekerja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efisien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menggunakan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tentunya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ini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sangat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berpengaruh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terhadap</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penilaian</w:t>
      </w:r>
      <w:proofErr w:type="spellEnd"/>
      <w:r w:rsidRPr="0082290D">
        <w:rPr>
          <w:rFonts w:ascii="Times New Roman" w:hAnsi="Times New Roman" w:cs="Times New Roman"/>
          <w:sz w:val="20"/>
          <w:szCs w:val="24"/>
        </w:rPr>
        <w:t xml:space="preserve"> KPI (</w:t>
      </w:r>
      <w:proofErr w:type="spellStart"/>
      <w:r w:rsidRPr="0082290D">
        <w:rPr>
          <w:rFonts w:ascii="Times New Roman" w:hAnsi="Times New Roman" w:cs="Times New Roman"/>
          <w:sz w:val="20"/>
          <w:szCs w:val="24"/>
        </w:rPr>
        <w:t>indeks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prestasi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masing-masing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karyawan</w:t>
      </w:r>
      <w:proofErr w:type="spellEnd"/>
      <w:r w:rsidRPr="00961291">
        <w:rPr>
          <w:rFonts w:ascii="Times New Roman" w:hAnsi="Times New Roman" w:cs="Times New Roman"/>
          <w:sz w:val="24"/>
          <w:szCs w:val="24"/>
        </w:rPr>
        <w:t>.</w:t>
      </w:r>
    </w:p>
    <w:p w:rsidR="002364C6" w:rsidRDefault="002364C6" w:rsidP="00CE7C1F">
      <w:pPr>
        <w:spacing w:after="0" w:line="240" w:lineRule="auto"/>
        <w:jc w:val="both"/>
        <w:rPr>
          <w:rFonts w:ascii="Times New Roman" w:hAnsi="Times New Roman" w:cs="Times New Roman"/>
          <w:b/>
          <w:sz w:val="24"/>
          <w:szCs w:val="24"/>
          <w:lang w:val="id-ID"/>
        </w:rPr>
      </w:pPr>
    </w:p>
    <w:p w:rsidR="002364C6" w:rsidRDefault="002364C6" w:rsidP="00CE7C1F">
      <w:pPr>
        <w:spacing w:after="0" w:line="240" w:lineRule="auto"/>
        <w:jc w:val="both"/>
        <w:rPr>
          <w:rFonts w:ascii="Times New Roman" w:hAnsi="Times New Roman" w:cs="Times New Roman"/>
          <w:b/>
          <w:sz w:val="24"/>
          <w:szCs w:val="24"/>
          <w:lang w:val="id-ID"/>
        </w:rPr>
      </w:pPr>
    </w:p>
    <w:p w:rsidR="002364C6" w:rsidRDefault="002364C6" w:rsidP="00CE7C1F">
      <w:pPr>
        <w:spacing w:after="0" w:line="240" w:lineRule="auto"/>
        <w:jc w:val="both"/>
        <w:rPr>
          <w:rFonts w:ascii="Times New Roman" w:hAnsi="Times New Roman" w:cs="Times New Roman"/>
          <w:b/>
          <w:sz w:val="24"/>
          <w:szCs w:val="24"/>
          <w:lang w:val="id-ID"/>
        </w:rPr>
      </w:pPr>
    </w:p>
    <w:p w:rsidR="002364C6" w:rsidRDefault="002364C6" w:rsidP="00CE7C1F">
      <w:pPr>
        <w:spacing w:after="0" w:line="240" w:lineRule="auto"/>
        <w:jc w:val="both"/>
        <w:rPr>
          <w:rFonts w:ascii="Times New Roman" w:hAnsi="Times New Roman" w:cs="Times New Roman"/>
          <w:b/>
          <w:sz w:val="24"/>
          <w:szCs w:val="24"/>
          <w:lang w:val="id-ID"/>
        </w:rPr>
      </w:pPr>
    </w:p>
    <w:p w:rsidR="008C634A" w:rsidRPr="009D24A9" w:rsidRDefault="005934B7" w:rsidP="00CE7C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4</w:t>
      </w:r>
      <w:r w:rsidR="001B2B9F">
        <w:rPr>
          <w:rFonts w:ascii="Times New Roman" w:hAnsi="Times New Roman" w:cs="Times New Roman"/>
          <w:b/>
          <w:sz w:val="24"/>
          <w:szCs w:val="24"/>
        </w:rPr>
        <w:t xml:space="preserve">. </w:t>
      </w:r>
      <w:proofErr w:type="spellStart"/>
      <w:r w:rsidR="001B2B9F">
        <w:rPr>
          <w:rFonts w:ascii="Times New Roman" w:hAnsi="Times New Roman" w:cs="Times New Roman"/>
          <w:b/>
          <w:sz w:val="24"/>
          <w:szCs w:val="24"/>
        </w:rPr>
        <w:t>Kesimpulan</w:t>
      </w:r>
      <w:proofErr w:type="spellEnd"/>
      <w:r w:rsidR="001B2B9F">
        <w:rPr>
          <w:rFonts w:ascii="Times New Roman" w:hAnsi="Times New Roman" w:cs="Times New Roman"/>
          <w:b/>
          <w:sz w:val="24"/>
          <w:szCs w:val="24"/>
        </w:rPr>
        <w:t xml:space="preserve"> </w:t>
      </w:r>
      <w:proofErr w:type="spellStart"/>
      <w:r w:rsidR="001B2B9F">
        <w:rPr>
          <w:rFonts w:ascii="Times New Roman" w:hAnsi="Times New Roman" w:cs="Times New Roman"/>
          <w:b/>
          <w:sz w:val="24"/>
          <w:szCs w:val="24"/>
        </w:rPr>
        <w:t>dan</w:t>
      </w:r>
      <w:proofErr w:type="spellEnd"/>
      <w:r w:rsidR="001B2B9F">
        <w:rPr>
          <w:rFonts w:ascii="Times New Roman" w:hAnsi="Times New Roman" w:cs="Times New Roman"/>
          <w:b/>
          <w:sz w:val="24"/>
          <w:szCs w:val="24"/>
        </w:rPr>
        <w:t xml:space="preserve"> Saran</w:t>
      </w:r>
      <w:r w:rsidR="001B2B9F" w:rsidRPr="001B2B9F">
        <w:rPr>
          <w:rFonts w:ascii="Times New Roman" w:hAnsi="Times New Roman" w:cs="Times New Roman"/>
          <w:b/>
          <w:sz w:val="24"/>
          <w:szCs w:val="24"/>
        </w:rPr>
        <w:tab/>
      </w:r>
      <w:r w:rsidR="001B2B9F" w:rsidRPr="001B2B9F">
        <w:rPr>
          <w:rFonts w:ascii="Times New Roman" w:hAnsi="Times New Roman" w:cs="Times New Roman"/>
          <w:b/>
          <w:sz w:val="24"/>
          <w:szCs w:val="24"/>
        </w:rPr>
        <w:tab/>
      </w:r>
    </w:p>
    <w:p w:rsidR="001E1FF3" w:rsidRPr="0082290D" w:rsidRDefault="001E1FF3" w:rsidP="00CE7C1F">
      <w:pPr>
        <w:spacing w:after="0" w:line="240" w:lineRule="auto"/>
        <w:jc w:val="both"/>
        <w:rPr>
          <w:rFonts w:ascii="Times New Roman" w:hAnsi="Times New Roman" w:cs="Times New Roman"/>
          <w:b/>
          <w:sz w:val="20"/>
          <w:szCs w:val="24"/>
        </w:rPr>
      </w:pPr>
      <w:r w:rsidRPr="0082290D">
        <w:rPr>
          <w:rFonts w:ascii="Times New Roman" w:hAnsi="Times New Roman" w:cs="Times New Roman"/>
          <w:b/>
          <w:sz w:val="20"/>
          <w:szCs w:val="24"/>
        </w:rPr>
        <w:t>KESIMPULAN</w:t>
      </w:r>
    </w:p>
    <w:p w:rsidR="001E1FF3" w:rsidRPr="0082290D" w:rsidRDefault="001E1FF3" w:rsidP="00CE7C1F">
      <w:pPr>
        <w:numPr>
          <w:ilvl w:val="0"/>
          <w:numId w:val="18"/>
        </w:numPr>
        <w:spacing w:after="0" w:line="240" w:lineRule="auto"/>
        <w:jc w:val="both"/>
        <w:rPr>
          <w:rFonts w:ascii="Times New Roman" w:hAnsi="Times New Roman" w:cs="Times New Roman"/>
          <w:sz w:val="20"/>
          <w:szCs w:val="24"/>
        </w:rPr>
      </w:pPr>
      <w:proofErr w:type="spellStart"/>
      <w:r w:rsidRPr="0082290D">
        <w:rPr>
          <w:rFonts w:ascii="Times New Roman" w:hAnsi="Times New Roman" w:cs="Times New Roman"/>
          <w:sz w:val="20"/>
          <w:szCs w:val="24"/>
        </w:rPr>
        <w:t>Didalam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analisis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likuiditas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pada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sangat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baik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karena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tiap</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mengalami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peningkatan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menerus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jauh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diatas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standar</w:t>
      </w:r>
      <w:proofErr w:type="spellEnd"/>
      <w:r w:rsidRPr="0082290D">
        <w:rPr>
          <w:rFonts w:ascii="Times New Roman" w:hAnsi="Times New Roman" w:cs="Times New Roman"/>
          <w:sz w:val="20"/>
          <w:szCs w:val="24"/>
        </w:rPr>
        <w:t xml:space="preserve"> yang </w:t>
      </w:r>
      <w:proofErr w:type="spellStart"/>
      <w:r w:rsidRPr="0082290D">
        <w:rPr>
          <w:rFonts w:ascii="Times New Roman" w:hAnsi="Times New Roman" w:cs="Times New Roman"/>
          <w:sz w:val="20"/>
          <w:szCs w:val="24"/>
        </w:rPr>
        <w:t>ditetapkan</w:t>
      </w:r>
      <w:proofErr w:type="spellEnd"/>
      <w:r w:rsidRPr="0082290D">
        <w:rPr>
          <w:rFonts w:ascii="Times New Roman" w:hAnsi="Times New Roman" w:cs="Times New Roman"/>
          <w:sz w:val="20"/>
          <w:szCs w:val="24"/>
        </w:rPr>
        <w:t xml:space="preserve"> Camels, </w:t>
      </w:r>
      <w:proofErr w:type="spellStart"/>
      <w:r w:rsidRPr="0082290D">
        <w:rPr>
          <w:rFonts w:ascii="Times New Roman" w:hAnsi="Times New Roman" w:cs="Times New Roman"/>
          <w:sz w:val="20"/>
          <w:szCs w:val="24"/>
        </w:rPr>
        <w:t>yaitu</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diatas</w:t>
      </w:r>
      <w:proofErr w:type="spellEnd"/>
      <w:r w:rsidRPr="0082290D">
        <w:rPr>
          <w:rFonts w:ascii="Times New Roman" w:hAnsi="Times New Roman" w:cs="Times New Roman"/>
          <w:sz w:val="20"/>
          <w:szCs w:val="24"/>
        </w:rPr>
        <w:t xml:space="preserve"> 200%</w:t>
      </w:r>
    </w:p>
    <w:p w:rsidR="001E1FF3" w:rsidRPr="0082290D" w:rsidRDefault="001E1FF3" w:rsidP="00CE7C1F">
      <w:pPr>
        <w:numPr>
          <w:ilvl w:val="0"/>
          <w:numId w:val="18"/>
        </w:numPr>
        <w:spacing w:after="0" w:line="240" w:lineRule="auto"/>
        <w:jc w:val="both"/>
        <w:rPr>
          <w:rFonts w:ascii="Times New Roman" w:hAnsi="Times New Roman" w:cs="Times New Roman"/>
          <w:sz w:val="20"/>
          <w:szCs w:val="24"/>
        </w:rPr>
      </w:pPr>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analisis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solvabilitas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pada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dapat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dikatakan</w:t>
      </w:r>
      <w:proofErr w:type="spellEnd"/>
      <w:r w:rsidRPr="0082290D">
        <w:rPr>
          <w:rFonts w:ascii="Times New Roman" w:hAnsi="Times New Roman" w:cs="Times New Roman"/>
          <w:sz w:val="20"/>
          <w:szCs w:val="24"/>
        </w:rPr>
        <w:t xml:space="preserve"> solvable, </w:t>
      </w:r>
      <w:proofErr w:type="spellStart"/>
      <w:r w:rsidRPr="0082290D">
        <w:rPr>
          <w:rFonts w:ascii="Times New Roman" w:hAnsi="Times New Roman" w:cs="Times New Roman"/>
          <w:sz w:val="20"/>
          <w:szCs w:val="24"/>
        </w:rPr>
        <w:t>karena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dapat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dilihat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dari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kedua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indikatornya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yaitu</w:t>
      </w:r>
      <w:proofErr w:type="spellEnd"/>
      <w:r w:rsidRPr="0082290D">
        <w:rPr>
          <w:rFonts w:ascii="Times New Roman" w:hAnsi="Times New Roman" w:cs="Times New Roman"/>
          <w:sz w:val="20"/>
          <w:szCs w:val="24"/>
        </w:rPr>
        <w:t xml:space="preserve"> total debt to total asset ratio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debt to equity ratio, </w:t>
      </w:r>
      <w:proofErr w:type="spellStart"/>
      <w:r w:rsidRPr="0082290D">
        <w:rPr>
          <w:rFonts w:ascii="Times New Roman" w:hAnsi="Times New Roman" w:cs="Times New Roman"/>
          <w:sz w:val="20"/>
          <w:szCs w:val="24"/>
        </w:rPr>
        <w:t>maka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dapat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memenuhi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utang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jangka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pendek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maupun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utang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jangka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panjangnya</w:t>
      </w:r>
      <w:proofErr w:type="spellEnd"/>
      <w:r w:rsidRPr="0082290D">
        <w:rPr>
          <w:rFonts w:ascii="Times New Roman" w:hAnsi="Times New Roman" w:cs="Times New Roman"/>
          <w:sz w:val="20"/>
          <w:szCs w:val="24"/>
        </w:rPr>
        <w:t>.</w:t>
      </w:r>
    </w:p>
    <w:p w:rsidR="00CE7C1F" w:rsidRPr="0082290D" w:rsidRDefault="001E1FF3" w:rsidP="009D24A9">
      <w:pPr>
        <w:numPr>
          <w:ilvl w:val="0"/>
          <w:numId w:val="18"/>
        </w:numPr>
        <w:spacing w:line="240" w:lineRule="auto"/>
        <w:jc w:val="both"/>
        <w:rPr>
          <w:rFonts w:ascii="Times New Roman" w:hAnsi="Times New Roman" w:cs="Times New Roman"/>
          <w:sz w:val="20"/>
          <w:szCs w:val="24"/>
        </w:rPr>
      </w:pPr>
      <w:proofErr w:type="spellStart"/>
      <w:r w:rsidRPr="0082290D">
        <w:rPr>
          <w:rFonts w:ascii="Times New Roman" w:hAnsi="Times New Roman" w:cs="Times New Roman"/>
          <w:sz w:val="20"/>
          <w:szCs w:val="24"/>
        </w:rPr>
        <w:t>Didalam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analisis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rentabilitas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masih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belum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memenuhi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standar</w:t>
      </w:r>
      <w:proofErr w:type="spellEnd"/>
      <w:r w:rsidRPr="0082290D">
        <w:rPr>
          <w:rFonts w:ascii="Times New Roman" w:hAnsi="Times New Roman" w:cs="Times New Roman"/>
          <w:sz w:val="20"/>
          <w:szCs w:val="24"/>
        </w:rPr>
        <w:t xml:space="preserve"> yang </w:t>
      </w:r>
      <w:proofErr w:type="spellStart"/>
      <w:r w:rsidRPr="0082290D">
        <w:rPr>
          <w:rFonts w:ascii="Times New Roman" w:hAnsi="Times New Roman" w:cs="Times New Roman"/>
          <w:sz w:val="20"/>
          <w:szCs w:val="24"/>
        </w:rPr>
        <w:t>ditetapkan</w:t>
      </w:r>
      <w:proofErr w:type="spellEnd"/>
      <w:r w:rsidRPr="0082290D">
        <w:rPr>
          <w:rFonts w:ascii="Times New Roman" w:hAnsi="Times New Roman" w:cs="Times New Roman"/>
          <w:sz w:val="20"/>
          <w:szCs w:val="24"/>
        </w:rPr>
        <w:t xml:space="preserve"> Bank Indonesia </w:t>
      </w:r>
      <w:proofErr w:type="spell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hal</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ini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analisis</w:t>
      </w:r>
      <w:proofErr w:type="spellEnd"/>
      <w:r w:rsidRPr="0082290D">
        <w:rPr>
          <w:rFonts w:ascii="Times New Roman" w:hAnsi="Times New Roman" w:cs="Times New Roman"/>
          <w:sz w:val="20"/>
          <w:szCs w:val="24"/>
        </w:rPr>
        <w:t xml:space="preserve"> Camels.</w:t>
      </w:r>
    </w:p>
    <w:p w:rsidR="001E1FF3" w:rsidRPr="0082290D" w:rsidRDefault="001E1FF3" w:rsidP="00CE7C1F">
      <w:pPr>
        <w:spacing w:line="240" w:lineRule="auto"/>
        <w:jc w:val="both"/>
        <w:rPr>
          <w:rFonts w:ascii="Times New Roman" w:hAnsi="Times New Roman" w:cs="Times New Roman"/>
          <w:sz w:val="20"/>
          <w:szCs w:val="24"/>
        </w:rPr>
      </w:pPr>
      <w:r w:rsidRPr="0082290D">
        <w:rPr>
          <w:rFonts w:ascii="Times New Roman" w:hAnsi="Times New Roman" w:cs="Times New Roman"/>
          <w:b/>
          <w:sz w:val="20"/>
          <w:szCs w:val="24"/>
        </w:rPr>
        <w:t>SARAN</w:t>
      </w:r>
    </w:p>
    <w:p w:rsidR="001E1FF3" w:rsidRPr="0082290D" w:rsidRDefault="001E1FF3" w:rsidP="00CE7C1F">
      <w:pPr>
        <w:numPr>
          <w:ilvl w:val="0"/>
          <w:numId w:val="19"/>
        </w:numPr>
        <w:spacing w:after="0" w:line="240" w:lineRule="auto"/>
        <w:ind w:left="709"/>
        <w:jc w:val="both"/>
        <w:rPr>
          <w:rFonts w:ascii="Times New Roman" w:hAnsi="Times New Roman" w:cs="Times New Roman"/>
          <w:sz w:val="20"/>
          <w:szCs w:val="24"/>
        </w:rPr>
      </w:pPr>
      <w:proofErr w:type="spellStart"/>
      <w:r w:rsidRPr="0082290D">
        <w:rPr>
          <w:rFonts w:ascii="Times New Roman" w:hAnsi="Times New Roman" w:cs="Times New Roman"/>
          <w:sz w:val="20"/>
          <w:szCs w:val="24"/>
        </w:rPr>
        <w:t>Untuk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tingkat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likuiditas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sebaiknya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mengurangi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jumlah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hutang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jangka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panjang</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aktiva</w:t>
      </w:r>
      <w:proofErr w:type="spellEnd"/>
      <w:r w:rsidRPr="0082290D">
        <w:rPr>
          <w:rFonts w:ascii="Times New Roman" w:hAnsi="Times New Roman" w:cs="Times New Roman"/>
          <w:sz w:val="20"/>
          <w:szCs w:val="24"/>
        </w:rPr>
        <w:t>.</w:t>
      </w:r>
    </w:p>
    <w:p w:rsidR="001E1FF3" w:rsidRPr="0082290D" w:rsidRDefault="001E1FF3" w:rsidP="00CE7C1F">
      <w:pPr>
        <w:numPr>
          <w:ilvl w:val="0"/>
          <w:numId w:val="19"/>
        </w:numPr>
        <w:spacing w:after="0" w:line="240" w:lineRule="auto"/>
        <w:ind w:left="709"/>
        <w:jc w:val="both"/>
        <w:rPr>
          <w:rFonts w:ascii="Times New Roman" w:hAnsi="Times New Roman" w:cs="Times New Roman"/>
          <w:sz w:val="20"/>
          <w:szCs w:val="24"/>
        </w:rPr>
      </w:pPr>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solvabilitas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sudah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cukup</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baik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ditingkatkan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dengan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yang </w:t>
      </w:r>
      <w:proofErr w:type="spellStart"/>
      <w:r w:rsidRPr="0082290D">
        <w:rPr>
          <w:rFonts w:ascii="Times New Roman" w:hAnsi="Times New Roman" w:cs="Times New Roman"/>
          <w:sz w:val="20"/>
          <w:szCs w:val="24"/>
        </w:rPr>
        <w:t>dipeoleh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menekan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hutang</w:t>
      </w:r>
      <w:proofErr w:type="spellEnd"/>
      <w:r w:rsidRPr="0082290D">
        <w:rPr>
          <w:rFonts w:ascii="Times New Roman" w:hAnsi="Times New Roman" w:cs="Times New Roman"/>
          <w:sz w:val="20"/>
          <w:szCs w:val="24"/>
        </w:rPr>
        <w:t>.</w:t>
      </w:r>
    </w:p>
    <w:p w:rsidR="001E1FF3" w:rsidRPr="0082290D" w:rsidRDefault="001E1FF3" w:rsidP="009D24A9">
      <w:pPr>
        <w:numPr>
          <w:ilvl w:val="0"/>
          <w:numId w:val="19"/>
        </w:numPr>
        <w:spacing w:line="240" w:lineRule="auto"/>
        <w:ind w:left="709"/>
        <w:jc w:val="both"/>
        <w:rPr>
          <w:rFonts w:ascii="Times New Roman" w:hAnsi="Times New Roman" w:cs="Times New Roman"/>
          <w:sz w:val="20"/>
          <w:szCs w:val="24"/>
        </w:rPr>
      </w:pP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solvabilitas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dapat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ditingkatkan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dengan</w:t>
      </w:r>
      <w:proofErr w:type="spellEnd"/>
      <w:r w:rsidRPr="0082290D">
        <w:rPr>
          <w:rFonts w:ascii="Times New Roman" w:hAnsi="Times New Roman" w:cs="Times New Roman"/>
          <w:sz w:val="20"/>
          <w:szCs w:val="24"/>
        </w:rPr>
        <w:t xml:space="preserve"> </w:t>
      </w:r>
      <w:proofErr w:type="spellStart"/>
      <w:proofErr w:type="gramStart"/>
      <w:r w:rsidRPr="0082290D">
        <w:rPr>
          <w:rFonts w:ascii="Times New Roman" w:hAnsi="Times New Roman" w:cs="Times New Roman"/>
          <w:sz w:val="20"/>
          <w:szCs w:val="24"/>
        </w:rPr>
        <w:t>cara</w:t>
      </w:r>
      <w:proofErr w:type="spellEnd"/>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jumlah</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penghasilkan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tanpa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diikuti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kenaikan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biaya-biaya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Karena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jika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tidak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dapat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menggunakan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modalnya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secara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efisien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maka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proofErr w:type="gramStart"/>
      <w:r w:rsidRPr="0082290D">
        <w:rPr>
          <w:rFonts w:ascii="Times New Roman" w:hAnsi="Times New Roman" w:cs="Times New Roman"/>
          <w:sz w:val="20"/>
          <w:szCs w:val="24"/>
        </w:rPr>
        <w:t>akan</w:t>
      </w:r>
      <w:proofErr w:type="spellEnd"/>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mengalami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kesulitan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dalam</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melunasi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hutang-hutangnya</w:t>
      </w:r>
      <w:proofErr w:type="spellEnd"/>
      <w:r w:rsidRPr="0082290D">
        <w:rPr>
          <w:rFonts w:ascii="Times New Roman" w:hAnsi="Times New Roman" w:cs="Times New Roman"/>
          <w:sz w:val="20"/>
          <w:szCs w:val="24"/>
        </w:rPr>
        <w:t>.</w:t>
      </w:r>
    </w:p>
    <w:p w:rsidR="001E1FF3" w:rsidRPr="0082290D" w:rsidRDefault="001E1FF3" w:rsidP="009D24A9">
      <w:pPr>
        <w:numPr>
          <w:ilvl w:val="0"/>
          <w:numId w:val="19"/>
        </w:numPr>
        <w:spacing w:line="240" w:lineRule="auto"/>
        <w:ind w:left="709"/>
        <w:jc w:val="both"/>
        <w:rPr>
          <w:rFonts w:ascii="Times New Roman" w:hAnsi="Times New Roman" w:cs="Times New Roman"/>
          <w:sz w:val="20"/>
          <w:szCs w:val="24"/>
        </w:rPr>
      </w:pPr>
      <w:proofErr w:type="spellStart"/>
      <w:r w:rsidRPr="0082290D">
        <w:rPr>
          <w:rFonts w:ascii="Times New Roman" w:hAnsi="Times New Roman" w:cs="Times New Roman"/>
          <w:sz w:val="20"/>
          <w:szCs w:val="24"/>
        </w:rPr>
        <w:t>Untuk</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meningkatkan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nilai</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rasio</w:t>
      </w:r>
      <w:proofErr w:type="spellEnd"/>
      <w:r w:rsidRPr="0082290D">
        <w:rPr>
          <w:rFonts w:ascii="Times New Roman" w:hAnsi="Times New Roman" w:cs="Times New Roman"/>
          <w:sz w:val="20"/>
          <w:szCs w:val="24"/>
        </w:rPr>
        <w:t xml:space="preserve"> BOPO, </w:t>
      </w:r>
      <w:proofErr w:type="spellStart"/>
      <w:r w:rsidRPr="0082290D">
        <w:rPr>
          <w:rFonts w:ascii="Times New Roman" w:hAnsi="Times New Roman" w:cs="Times New Roman"/>
          <w:sz w:val="20"/>
          <w:szCs w:val="24"/>
        </w:rPr>
        <w:t>perusahaan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harus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melakukan</w:t>
      </w:r>
      <w:proofErr w:type="spellEnd"/>
      <w:r w:rsidRPr="0082290D">
        <w:rPr>
          <w:rFonts w:ascii="Times New Roman" w:hAnsi="Times New Roman" w:cs="Times New Roman"/>
          <w:sz w:val="20"/>
          <w:szCs w:val="24"/>
        </w:rPr>
        <w:t xml:space="preserve"> review </w:t>
      </w:r>
      <w:proofErr w:type="spellStart"/>
      <w:r w:rsidRPr="0082290D">
        <w:rPr>
          <w:rFonts w:ascii="Times New Roman" w:hAnsi="Times New Roman" w:cs="Times New Roman"/>
          <w:sz w:val="20"/>
          <w:szCs w:val="24"/>
        </w:rPr>
        <w:t>secara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berkala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terus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menerus</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setiap</w:t>
      </w:r>
      <w:proofErr w:type="spellEnd"/>
      <w:r w:rsidRPr="0082290D">
        <w:rPr>
          <w:rFonts w:ascii="Times New Roman" w:hAnsi="Times New Roman" w:cs="Times New Roman"/>
          <w:sz w:val="20"/>
          <w:szCs w:val="24"/>
        </w:rPr>
        <w:t xml:space="preserve"> </w:t>
      </w:r>
      <w:proofErr w:type="spellStart"/>
      <w:proofErr w:type="gramStart"/>
      <w:r w:rsidRPr="0082290D">
        <w:rPr>
          <w:rFonts w:ascii="Times New Roman" w:hAnsi="Times New Roman" w:cs="Times New Roman"/>
          <w:sz w:val="20"/>
          <w:szCs w:val="24"/>
        </w:rPr>
        <w:t>tahun</w:t>
      </w:r>
      <w:proofErr w:type="spellEnd"/>
      <w:r w:rsidRPr="0082290D">
        <w:rPr>
          <w:rFonts w:ascii="Times New Roman" w:hAnsi="Times New Roman" w:cs="Times New Roman"/>
          <w:sz w:val="20"/>
          <w:szCs w:val="24"/>
        </w:rPr>
        <w:t xml:space="preserve">  agar</w:t>
      </w:r>
      <w:proofErr w:type="gram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dapat</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memaksimalkan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laba</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dan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menekan</w:t>
      </w:r>
      <w:proofErr w:type="spellEnd"/>
      <w:r w:rsidRPr="0082290D">
        <w:rPr>
          <w:rFonts w:ascii="Times New Roman" w:hAnsi="Times New Roman" w:cs="Times New Roman"/>
          <w:sz w:val="20"/>
          <w:szCs w:val="24"/>
        </w:rPr>
        <w:t xml:space="preserve"> </w:t>
      </w:r>
      <w:proofErr w:type="spellStart"/>
      <w:r w:rsidRPr="0082290D">
        <w:rPr>
          <w:rFonts w:ascii="Times New Roman" w:hAnsi="Times New Roman" w:cs="Times New Roman"/>
          <w:sz w:val="20"/>
          <w:szCs w:val="24"/>
        </w:rPr>
        <w:t>biaya</w:t>
      </w:r>
      <w:proofErr w:type="spellEnd"/>
      <w:r w:rsidRPr="0082290D">
        <w:rPr>
          <w:rFonts w:ascii="Times New Roman" w:hAnsi="Times New Roman" w:cs="Times New Roman"/>
          <w:sz w:val="20"/>
          <w:szCs w:val="24"/>
        </w:rPr>
        <w:t>.</w:t>
      </w:r>
    </w:p>
    <w:p w:rsidR="001E1FF3" w:rsidRPr="007D12F3" w:rsidRDefault="001E1FF3" w:rsidP="009D24A9">
      <w:pPr>
        <w:spacing w:line="240" w:lineRule="auto"/>
        <w:jc w:val="both"/>
        <w:rPr>
          <w:rFonts w:ascii="Times New Roman" w:hAnsi="Times New Roman" w:cs="Times New Roman"/>
          <w:b/>
          <w:sz w:val="24"/>
          <w:szCs w:val="24"/>
        </w:rPr>
      </w:pPr>
      <w:r w:rsidRPr="007D12F3">
        <w:rPr>
          <w:rFonts w:ascii="Times New Roman" w:hAnsi="Times New Roman" w:cs="Times New Roman"/>
          <w:b/>
          <w:sz w:val="24"/>
          <w:szCs w:val="24"/>
        </w:rPr>
        <w:t>DAFTAR PUSTAKA</w:t>
      </w:r>
    </w:p>
    <w:p w:rsidR="001E1FF3" w:rsidRPr="0082290D" w:rsidRDefault="001E1FF3" w:rsidP="009D24A9">
      <w:pPr>
        <w:pStyle w:val="Default"/>
        <w:ind w:left="720" w:hanging="720"/>
        <w:jc w:val="both"/>
        <w:rPr>
          <w:sz w:val="20"/>
        </w:rPr>
      </w:pPr>
      <w:r w:rsidRPr="0082290D">
        <w:rPr>
          <w:sz w:val="20"/>
        </w:rPr>
        <w:t xml:space="preserve">Abdullah, Faizal, Drs. MM. 2005. </w:t>
      </w:r>
      <w:r w:rsidRPr="0082290D">
        <w:rPr>
          <w:i/>
          <w:iCs/>
          <w:sz w:val="20"/>
        </w:rPr>
        <w:t>Manajemen Perbankan (Teknik Analisis Kinerja Keuangan Bank)</w:t>
      </w:r>
      <w:r w:rsidRPr="0082290D">
        <w:rPr>
          <w:sz w:val="20"/>
        </w:rPr>
        <w:t xml:space="preserve">. Malang: UMM Press. </w:t>
      </w:r>
    </w:p>
    <w:p w:rsidR="001E1FF3" w:rsidRPr="0082290D" w:rsidRDefault="001E1FF3" w:rsidP="009D24A9">
      <w:pPr>
        <w:pStyle w:val="Default"/>
        <w:ind w:left="720" w:hanging="720"/>
        <w:jc w:val="both"/>
        <w:rPr>
          <w:sz w:val="20"/>
        </w:rPr>
      </w:pPr>
      <w:r w:rsidRPr="0082290D">
        <w:rPr>
          <w:sz w:val="20"/>
        </w:rPr>
        <w:t xml:space="preserve">Baridwan, Zaki. 2000. </w:t>
      </w:r>
      <w:r w:rsidRPr="0082290D">
        <w:rPr>
          <w:i/>
          <w:iCs/>
          <w:sz w:val="20"/>
        </w:rPr>
        <w:t>Intermediate Accounting</w:t>
      </w:r>
      <w:r w:rsidRPr="0082290D">
        <w:rPr>
          <w:sz w:val="20"/>
        </w:rPr>
        <w:t xml:space="preserve">. Yogyakarta: BPFE Universitas Gajah Mada. </w:t>
      </w:r>
    </w:p>
    <w:p w:rsidR="001E1FF3" w:rsidRPr="0082290D" w:rsidRDefault="001E1FF3" w:rsidP="009D24A9">
      <w:pPr>
        <w:pStyle w:val="Default"/>
        <w:jc w:val="both"/>
        <w:rPr>
          <w:sz w:val="20"/>
        </w:rPr>
      </w:pPr>
      <w:r w:rsidRPr="0082290D">
        <w:rPr>
          <w:sz w:val="20"/>
        </w:rPr>
        <w:t xml:space="preserve">Darmawi, Herman. 2011. </w:t>
      </w:r>
      <w:r w:rsidRPr="0082290D">
        <w:rPr>
          <w:i/>
          <w:iCs/>
          <w:sz w:val="20"/>
        </w:rPr>
        <w:t>Manajemen Perbankan</w:t>
      </w:r>
      <w:r w:rsidRPr="0082290D">
        <w:rPr>
          <w:sz w:val="20"/>
        </w:rPr>
        <w:t xml:space="preserve">. Jakarta: Bumi Aksara. </w:t>
      </w:r>
    </w:p>
    <w:p w:rsidR="001E1FF3" w:rsidRPr="0082290D" w:rsidRDefault="001E1FF3" w:rsidP="009D24A9">
      <w:pPr>
        <w:pStyle w:val="Default"/>
        <w:ind w:left="720" w:hanging="720"/>
        <w:jc w:val="both"/>
        <w:rPr>
          <w:sz w:val="20"/>
        </w:rPr>
      </w:pPr>
      <w:r w:rsidRPr="0082290D">
        <w:rPr>
          <w:sz w:val="20"/>
        </w:rPr>
        <w:t xml:space="preserve">Dendawijaya, Lukman, Ir. Drs. 2005. </w:t>
      </w:r>
      <w:r w:rsidRPr="0082290D">
        <w:rPr>
          <w:i/>
          <w:iCs/>
          <w:sz w:val="20"/>
        </w:rPr>
        <w:t>Manajemen Perbankan</w:t>
      </w:r>
      <w:r w:rsidRPr="0082290D">
        <w:rPr>
          <w:sz w:val="20"/>
        </w:rPr>
        <w:t xml:space="preserve">. Edisi Kedua. Jakarta: Ghalia Indonesia. </w:t>
      </w:r>
    </w:p>
    <w:p w:rsidR="001E1FF3" w:rsidRPr="0082290D" w:rsidRDefault="001E1FF3" w:rsidP="009D24A9">
      <w:pPr>
        <w:pStyle w:val="Default"/>
        <w:ind w:left="709" w:hanging="709"/>
        <w:jc w:val="both"/>
        <w:rPr>
          <w:sz w:val="20"/>
        </w:rPr>
      </w:pPr>
      <w:r w:rsidRPr="0082290D">
        <w:rPr>
          <w:bCs/>
          <w:sz w:val="20"/>
        </w:rPr>
        <w:t>Destiadi, Alphasti Rasi</w:t>
      </w:r>
      <w:r w:rsidRPr="0082290D">
        <w:rPr>
          <w:sz w:val="20"/>
        </w:rPr>
        <w:t xml:space="preserve">. 2010. </w:t>
      </w:r>
      <w:r w:rsidRPr="0082290D">
        <w:rPr>
          <w:bCs/>
          <w:i/>
          <w:sz w:val="20"/>
        </w:rPr>
        <w:t>Pengukuran Kinerja</w:t>
      </w:r>
      <w:r w:rsidRPr="0082290D">
        <w:rPr>
          <w:i/>
          <w:sz w:val="20"/>
        </w:rPr>
        <w:t xml:space="preserve"> </w:t>
      </w:r>
      <w:r w:rsidRPr="0082290D">
        <w:rPr>
          <w:bCs/>
          <w:i/>
          <w:sz w:val="20"/>
        </w:rPr>
        <w:t>Keuangan dengan Pendekatan Analisis Likuiditas, Solvabilitas, Aktivitas,</w:t>
      </w:r>
      <w:r w:rsidRPr="0082290D">
        <w:rPr>
          <w:i/>
          <w:sz w:val="20"/>
        </w:rPr>
        <w:t xml:space="preserve"> </w:t>
      </w:r>
      <w:r w:rsidRPr="0082290D">
        <w:rPr>
          <w:bCs/>
          <w:i/>
          <w:sz w:val="20"/>
        </w:rPr>
        <w:t>dan Rentabilitas pada Perusahaan Perkebunan yang Terdaftar di Bursa</w:t>
      </w:r>
      <w:r w:rsidRPr="0082290D">
        <w:rPr>
          <w:i/>
          <w:sz w:val="20"/>
        </w:rPr>
        <w:t xml:space="preserve"> </w:t>
      </w:r>
      <w:r w:rsidRPr="0082290D">
        <w:rPr>
          <w:bCs/>
          <w:i/>
          <w:sz w:val="20"/>
        </w:rPr>
        <w:t>Efek Indonesia</w:t>
      </w:r>
      <w:r w:rsidRPr="0082290D">
        <w:rPr>
          <w:sz w:val="20"/>
        </w:rPr>
        <w:t>. Surakarta : Universitas Sebelas Maret.</w:t>
      </w:r>
    </w:p>
    <w:p w:rsidR="00915F90" w:rsidRPr="0082290D" w:rsidRDefault="001E1FF3" w:rsidP="00210BBF">
      <w:pPr>
        <w:autoSpaceDE w:val="0"/>
        <w:autoSpaceDN w:val="0"/>
        <w:adjustRightInd w:val="0"/>
        <w:spacing w:line="240" w:lineRule="auto"/>
        <w:ind w:left="709" w:hanging="709"/>
        <w:jc w:val="both"/>
        <w:rPr>
          <w:rFonts w:ascii="Times New Roman" w:eastAsia="Calibri" w:hAnsi="Times New Roman" w:cs="Times New Roman"/>
          <w:sz w:val="20"/>
          <w:szCs w:val="24"/>
        </w:rPr>
      </w:pPr>
      <w:proofErr w:type="spellStart"/>
      <w:proofErr w:type="gramStart"/>
      <w:r w:rsidRPr="0082290D">
        <w:rPr>
          <w:rFonts w:ascii="Times New Roman" w:eastAsia="Calibri" w:hAnsi="Times New Roman" w:cs="Times New Roman"/>
          <w:sz w:val="20"/>
          <w:szCs w:val="24"/>
        </w:rPr>
        <w:t>Hodijah</w:t>
      </w:r>
      <w:proofErr w:type="spellEnd"/>
      <w:r w:rsidRPr="0082290D">
        <w:rPr>
          <w:rFonts w:ascii="Times New Roman" w:eastAsia="Calibri" w:hAnsi="Times New Roman" w:cs="Times New Roman"/>
          <w:sz w:val="20"/>
          <w:szCs w:val="24"/>
        </w:rPr>
        <w:t>.</w:t>
      </w:r>
      <w:proofErr w:type="gramEnd"/>
      <w:r w:rsidRPr="0082290D">
        <w:rPr>
          <w:rFonts w:ascii="Times New Roman" w:eastAsia="Calibri" w:hAnsi="Times New Roman" w:cs="Times New Roman"/>
          <w:sz w:val="20"/>
          <w:szCs w:val="24"/>
        </w:rPr>
        <w:t xml:space="preserve"> 2009. </w:t>
      </w:r>
      <w:r w:rsidRPr="0082290D">
        <w:rPr>
          <w:rFonts w:ascii="Times New Roman" w:eastAsia="Calibri" w:hAnsi="Times New Roman" w:cs="Times New Roman"/>
          <w:i/>
          <w:sz w:val="20"/>
          <w:szCs w:val="24"/>
          <w:lang w:val="id-ID"/>
        </w:rPr>
        <w:t>Analisis Perbandingan Kinerja Keuangan Bank Melalui Pendekatan Likuiditas, Solvabilitas, dan Rentabilitas Pada Bank Muamalat Indonesia, Bank Syariah Mandiri, dan Bank Mega Syariah</w:t>
      </w:r>
      <w:r w:rsidRPr="0082290D">
        <w:rPr>
          <w:rFonts w:ascii="Times New Roman" w:eastAsia="Calibri" w:hAnsi="Times New Roman" w:cs="Times New Roman"/>
          <w:sz w:val="20"/>
          <w:szCs w:val="24"/>
          <w:lang w:val="id-ID"/>
        </w:rPr>
        <w:t>. Jakarta : Universitas Gunadarma.</w:t>
      </w:r>
    </w:p>
    <w:sectPr w:rsidR="00915F90" w:rsidRPr="0082290D" w:rsidSect="00435EAB">
      <w:pgSz w:w="11907" w:h="16840" w:code="9"/>
      <w:pgMar w:top="2948" w:right="2495" w:bottom="2948" w:left="249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846"/>
    <w:multiLevelType w:val="multilevel"/>
    <w:tmpl w:val="438A8A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4C2911"/>
    <w:multiLevelType w:val="multilevel"/>
    <w:tmpl w:val="F89AD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4406AD"/>
    <w:multiLevelType w:val="hybridMultilevel"/>
    <w:tmpl w:val="75B4DD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D5B95"/>
    <w:multiLevelType w:val="hybridMultilevel"/>
    <w:tmpl w:val="05026580"/>
    <w:lvl w:ilvl="0" w:tplc="04090009">
      <w:start w:val="1"/>
      <w:numFmt w:val="bullet"/>
      <w:lvlText w:val=""/>
      <w:lvlJc w:val="left"/>
      <w:pPr>
        <w:ind w:left="720" w:hanging="360"/>
      </w:pPr>
      <w:rPr>
        <w:rFonts w:ascii="Wingdings" w:hAnsi="Wingding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3D6E26"/>
    <w:multiLevelType w:val="hybridMultilevel"/>
    <w:tmpl w:val="021AFD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D29E3"/>
    <w:multiLevelType w:val="hybridMultilevel"/>
    <w:tmpl w:val="490E32BC"/>
    <w:lvl w:ilvl="0" w:tplc="5184CA8A">
      <w:start w:val="1"/>
      <w:numFmt w:val="lowerLetter"/>
      <w:lvlText w:val="%1."/>
      <w:lvlJc w:val="left"/>
      <w:pPr>
        <w:tabs>
          <w:tab w:val="num" w:pos="720"/>
        </w:tabs>
        <w:ind w:left="720" w:hanging="360"/>
      </w:pPr>
      <w:rPr>
        <w:rFonts w:hint="default"/>
        <w:b/>
        <w:i w:val="0"/>
      </w:rPr>
    </w:lvl>
    <w:lvl w:ilvl="1" w:tplc="B102300E">
      <w:start w:val="1"/>
      <w:numFmt w:val="decimal"/>
      <w:lvlText w:val="%2)"/>
      <w:lvlJc w:val="left"/>
      <w:pPr>
        <w:tabs>
          <w:tab w:val="num" w:pos="1440"/>
        </w:tabs>
        <w:ind w:left="1440" w:hanging="360"/>
      </w:pPr>
      <w:rPr>
        <w:rFonts w:hint="default"/>
      </w:rPr>
    </w:lvl>
    <w:lvl w:ilvl="2" w:tplc="06B236CA">
      <w:start w:val="1"/>
      <w:numFmt w:val="decimal"/>
      <w:lvlText w:val="%3."/>
      <w:lvlJc w:val="left"/>
      <w:pPr>
        <w:ind w:left="2340" w:hanging="360"/>
      </w:pPr>
      <w:rPr>
        <w:rFonts w:hint="default"/>
      </w:rPr>
    </w:lvl>
    <w:lvl w:ilvl="3" w:tplc="E6BC7D3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B0921"/>
    <w:multiLevelType w:val="hybridMultilevel"/>
    <w:tmpl w:val="E7F4400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C21B6"/>
    <w:multiLevelType w:val="hybridMultilevel"/>
    <w:tmpl w:val="A61C12F6"/>
    <w:lvl w:ilvl="0" w:tplc="0409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7D3B04"/>
    <w:multiLevelType w:val="hybridMultilevel"/>
    <w:tmpl w:val="D690E64E"/>
    <w:lvl w:ilvl="0" w:tplc="04090009">
      <w:start w:val="1"/>
      <w:numFmt w:val="bullet"/>
      <w:lvlText w:val=""/>
      <w:lvlJc w:val="left"/>
      <w:pPr>
        <w:ind w:left="1069" w:hanging="360"/>
      </w:pPr>
      <w:rPr>
        <w:rFonts w:ascii="Wingdings" w:hAnsi="Wingding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C49087D"/>
    <w:multiLevelType w:val="multilevel"/>
    <w:tmpl w:val="A9A25C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0040C2D"/>
    <w:multiLevelType w:val="hybridMultilevel"/>
    <w:tmpl w:val="86D4F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25358"/>
    <w:multiLevelType w:val="hybridMultilevel"/>
    <w:tmpl w:val="4D261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31C13"/>
    <w:multiLevelType w:val="hybridMultilevel"/>
    <w:tmpl w:val="7042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677F0"/>
    <w:multiLevelType w:val="hybridMultilevel"/>
    <w:tmpl w:val="92E84B8E"/>
    <w:lvl w:ilvl="0" w:tplc="04090009">
      <w:start w:val="1"/>
      <w:numFmt w:val="bullet"/>
      <w:lvlText w:val=""/>
      <w:lvlJc w:val="left"/>
      <w:pPr>
        <w:ind w:left="1069" w:hanging="360"/>
      </w:pPr>
      <w:rPr>
        <w:rFonts w:ascii="Wingdings" w:hAnsi="Wingding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4276EF2"/>
    <w:multiLevelType w:val="hybridMultilevel"/>
    <w:tmpl w:val="292CC68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4EE5D0D"/>
    <w:multiLevelType w:val="hybridMultilevel"/>
    <w:tmpl w:val="B0DEC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B33FD1"/>
    <w:multiLevelType w:val="hybridMultilevel"/>
    <w:tmpl w:val="A6B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74031"/>
    <w:multiLevelType w:val="hybridMultilevel"/>
    <w:tmpl w:val="D8B08286"/>
    <w:lvl w:ilvl="0" w:tplc="248460A4">
      <w:start w:val="1"/>
      <w:numFmt w:val="lowerLetter"/>
      <w:lvlText w:val="%1."/>
      <w:lvlJc w:val="left"/>
      <w:pPr>
        <w:ind w:left="1080" w:hanging="360"/>
      </w:pPr>
      <w:rPr>
        <w:rFonts w:hint="default"/>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BF02759"/>
    <w:multiLevelType w:val="hybridMultilevel"/>
    <w:tmpl w:val="BF245FAC"/>
    <w:lvl w:ilvl="0" w:tplc="459020A4">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0403DE"/>
    <w:multiLevelType w:val="hybridMultilevel"/>
    <w:tmpl w:val="353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C0B23"/>
    <w:multiLevelType w:val="multilevel"/>
    <w:tmpl w:val="DA684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900BD2"/>
    <w:multiLevelType w:val="hybridMultilevel"/>
    <w:tmpl w:val="B6EC0572"/>
    <w:lvl w:ilvl="0" w:tplc="04090009">
      <w:start w:val="1"/>
      <w:numFmt w:val="bullet"/>
      <w:lvlText w:val=""/>
      <w:lvlJc w:val="left"/>
      <w:pPr>
        <w:ind w:left="720" w:hanging="360"/>
      </w:pPr>
      <w:rPr>
        <w:rFonts w:ascii="Wingdings" w:hAnsi="Wingding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8"/>
  </w:num>
  <w:num w:numId="3">
    <w:abstractNumId w:val="17"/>
  </w:num>
  <w:num w:numId="4">
    <w:abstractNumId w:val="7"/>
  </w:num>
  <w:num w:numId="5">
    <w:abstractNumId w:val="8"/>
  </w:num>
  <w:num w:numId="6">
    <w:abstractNumId w:val="3"/>
  </w:num>
  <w:num w:numId="7">
    <w:abstractNumId w:val="10"/>
  </w:num>
  <w:num w:numId="8">
    <w:abstractNumId w:val="5"/>
  </w:num>
  <w:num w:numId="9">
    <w:abstractNumId w:val="4"/>
  </w:num>
  <w:num w:numId="10">
    <w:abstractNumId w:val="15"/>
  </w:num>
  <w:num w:numId="11">
    <w:abstractNumId w:val="14"/>
  </w:num>
  <w:num w:numId="12">
    <w:abstractNumId w:val="13"/>
  </w:num>
  <w:num w:numId="13">
    <w:abstractNumId w:val="0"/>
  </w:num>
  <w:num w:numId="14">
    <w:abstractNumId w:val="21"/>
  </w:num>
  <w:num w:numId="15">
    <w:abstractNumId w:val="16"/>
  </w:num>
  <w:num w:numId="16">
    <w:abstractNumId w:val="19"/>
  </w:num>
  <w:num w:numId="17">
    <w:abstractNumId w:val="12"/>
  </w:num>
  <w:num w:numId="18">
    <w:abstractNumId w:val="11"/>
  </w:num>
  <w:num w:numId="19">
    <w:abstractNumId w:val="2"/>
  </w:num>
  <w:num w:numId="20">
    <w:abstractNumId w:val="20"/>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F90"/>
    <w:rsid w:val="00026F93"/>
    <w:rsid w:val="0016083A"/>
    <w:rsid w:val="001B2B9F"/>
    <w:rsid w:val="001E1FF3"/>
    <w:rsid w:val="00210BBF"/>
    <w:rsid w:val="002364C6"/>
    <w:rsid w:val="00306B7D"/>
    <w:rsid w:val="003B3173"/>
    <w:rsid w:val="003C50EE"/>
    <w:rsid w:val="0041608B"/>
    <w:rsid w:val="00435EAB"/>
    <w:rsid w:val="005934B7"/>
    <w:rsid w:val="00790A20"/>
    <w:rsid w:val="007D12F3"/>
    <w:rsid w:val="0082290D"/>
    <w:rsid w:val="00865F50"/>
    <w:rsid w:val="00880B5A"/>
    <w:rsid w:val="008B288A"/>
    <w:rsid w:val="008C634A"/>
    <w:rsid w:val="00915F90"/>
    <w:rsid w:val="009564D6"/>
    <w:rsid w:val="009D24A9"/>
    <w:rsid w:val="00A0368F"/>
    <w:rsid w:val="00AD7F86"/>
    <w:rsid w:val="00B422A1"/>
    <w:rsid w:val="00C50CE1"/>
    <w:rsid w:val="00CE7C1F"/>
    <w:rsid w:val="00D97C0E"/>
    <w:rsid w:val="00DF59DE"/>
    <w:rsid w:val="00E1367B"/>
    <w:rsid w:val="00ED400F"/>
    <w:rsid w:val="00FA63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F90"/>
    <w:rPr>
      <w:color w:val="0000FF" w:themeColor="hyperlink"/>
      <w:u w:val="single"/>
    </w:rPr>
  </w:style>
  <w:style w:type="paragraph" w:styleId="ListParagraph">
    <w:name w:val="List Paragraph"/>
    <w:basedOn w:val="Normal"/>
    <w:uiPriority w:val="34"/>
    <w:qFormat/>
    <w:rsid w:val="00880B5A"/>
    <w:pPr>
      <w:ind w:left="720"/>
      <w:contextualSpacing/>
    </w:pPr>
  </w:style>
  <w:style w:type="table" w:styleId="TableGrid">
    <w:name w:val="Table Grid"/>
    <w:basedOn w:val="TableNormal"/>
    <w:uiPriority w:val="59"/>
    <w:rsid w:val="00C50C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E1FF3"/>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X</dc:creator>
  <cp:lastModifiedBy>Asus</cp:lastModifiedBy>
  <cp:revision>7</cp:revision>
  <dcterms:created xsi:type="dcterms:W3CDTF">2014-08-15T09:20:00Z</dcterms:created>
  <dcterms:modified xsi:type="dcterms:W3CDTF">2014-08-20T07:25:00Z</dcterms:modified>
</cp:coreProperties>
</file>