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02" w:rsidRPr="00176D02" w:rsidRDefault="00176D02" w:rsidP="00176D02">
      <w:pPr>
        <w:spacing w:before="0" w:line="240" w:lineRule="auto"/>
        <w:ind w:firstLine="0"/>
        <w:jc w:val="center"/>
        <w:rPr>
          <w:b/>
          <w:i/>
          <w:noProof/>
          <w:sz w:val="28"/>
          <w:szCs w:val="28"/>
        </w:rPr>
      </w:pPr>
      <w:r>
        <w:rPr>
          <w:b/>
          <w:noProof/>
          <w:sz w:val="28"/>
          <w:szCs w:val="28"/>
        </w:rPr>
        <w:t>AN ANALYSIS OF THE LEVEL OF INFORMATION TECHNOLOGY (TI) SERVICE SATISFACTION (A CASE STUDY OF GOJECK APPLICATION)</w:t>
      </w:r>
    </w:p>
    <w:p w:rsidR="00176D02" w:rsidRPr="009814ED" w:rsidRDefault="00176D02" w:rsidP="00176D02">
      <w:pPr>
        <w:spacing w:before="0" w:line="240" w:lineRule="auto"/>
        <w:ind w:firstLine="0"/>
        <w:jc w:val="left"/>
        <w:rPr>
          <w:noProof/>
          <w:color w:val="4F81BD"/>
          <w:szCs w:val="22"/>
        </w:rPr>
      </w:pPr>
    </w:p>
    <w:p w:rsidR="00176D02" w:rsidRPr="00AF3EB4" w:rsidRDefault="00176D02" w:rsidP="00176D02">
      <w:pPr>
        <w:spacing w:before="0" w:line="240" w:lineRule="auto"/>
        <w:ind w:firstLine="0"/>
        <w:jc w:val="center"/>
        <w:rPr>
          <w:b/>
          <w:noProof/>
          <w:sz w:val="18"/>
          <w:szCs w:val="18"/>
        </w:rPr>
      </w:pPr>
      <w:r>
        <w:rPr>
          <w:b/>
          <w:noProof/>
          <w:sz w:val="18"/>
          <w:szCs w:val="18"/>
          <w:lang w:val="id-ID"/>
        </w:rPr>
        <w:t>Lin Yan S</w:t>
      </w:r>
      <w:r>
        <w:rPr>
          <w:b/>
          <w:noProof/>
          <w:sz w:val="18"/>
          <w:szCs w:val="18"/>
        </w:rPr>
        <w:t>y</w:t>
      </w:r>
      <w:r>
        <w:rPr>
          <w:b/>
          <w:noProof/>
          <w:sz w:val="18"/>
          <w:szCs w:val="18"/>
          <w:lang w:val="id-ID"/>
        </w:rPr>
        <w:t>ah</w:t>
      </w:r>
    </w:p>
    <w:p w:rsidR="00176D02" w:rsidRDefault="00344C60" w:rsidP="00176D02">
      <w:pPr>
        <w:spacing w:before="0" w:line="240" w:lineRule="auto"/>
        <w:ind w:firstLine="0"/>
        <w:jc w:val="center"/>
        <w:rPr>
          <w:noProof/>
          <w:sz w:val="18"/>
          <w:szCs w:val="18"/>
        </w:rPr>
      </w:pPr>
      <w:hyperlink r:id="rId7" w:history="1">
        <w:r w:rsidR="00F74D60" w:rsidRPr="00F06EEC">
          <w:rPr>
            <w:rStyle w:val="Hyperlink"/>
            <w:noProof/>
            <w:sz w:val="18"/>
            <w:szCs w:val="18"/>
            <w:lang w:val="id-ID"/>
          </w:rPr>
          <w:t>linyansyah@gmail</w:t>
        </w:r>
        <w:r w:rsidR="00F74D60" w:rsidRPr="00F06EEC">
          <w:rPr>
            <w:rStyle w:val="Hyperlink"/>
            <w:noProof/>
            <w:sz w:val="18"/>
            <w:szCs w:val="18"/>
          </w:rPr>
          <w:t>.com</w:t>
        </w:r>
      </w:hyperlink>
    </w:p>
    <w:p w:rsidR="00F74D60" w:rsidRDefault="00F74D60" w:rsidP="00176D02">
      <w:pPr>
        <w:spacing w:before="0" w:line="240" w:lineRule="auto"/>
        <w:ind w:firstLine="0"/>
        <w:jc w:val="center"/>
        <w:rPr>
          <w:b/>
          <w:noProof/>
          <w:sz w:val="18"/>
          <w:szCs w:val="18"/>
          <w:lang w:val="id-ID"/>
        </w:rPr>
      </w:pPr>
    </w:p>
    <w:p w:rsidR="00F74D60" w:rsidRDefault="00F74D60" w:rsidP="00176D02">
      <w:pPr>
        <w:spacing w:before="0" w:line="240" w:lineRule="auto"/>
        <w:ind w:firstLine="0"/>
        <w:jc w:val="center"/>
        <w:rPr>
          <w:b/>
          <w:noProof/>
          <w:sz w:val="18"/>
          <w:szCs w:val="18"/>
          <w:lang w:val="id-ID"/>
        </w:rPr>
      </w:pPr>
      <w:r>
        <w:rPr>
          <w:b/>
          <w:noProof/>
          <w:sz w:val="18"/>
          <w:szCs w:val="18"/>
          <w:lang w:val="id-ID"/>
        </w:rPr>
        <w:t>Siti Nurhayati Nafsiah</w:t>
      </w:r>
    </w:p>
    <w:p w:rsidR="00176D02" w:rsidRPr="0088412E" w:rsidRDefault="00F74D60" w:rsidP="00F74D60">
      <w:pPr>
        <w:spacing w:before="0" w:line="240" w:lineRule="auto"/>
        <w:ind w:firstLine="0"/>
        <w:jc w:val="center"/>
        <w:rPr>
          <w:noProof/>
          <w:color w:val="4F81BD"/>
          <w:sz w:val="18"/>
          <w:szCs w:val="18"/>
        </w:rPr>
      </w:pPr>
      <w:r w:rsidRPr="00F74D60">
        <w:rPr>
          <w:noProof/>
          <w:sz w:val="18"/>
          <w:szCs w:val="18"/>
          <w:lang w:val="id-ID"/>
        </w:rPr>
        <w:t>siti</w:t>
      </w:r>
      <w:r>
        <w:rPr>
          <w:noProof/>
          <w:sz w:val="18"/>
          <w:szCs w:val="18"/>
          <w:lang w:val="id-ID"/>
        </w:rPr>
        <w:t>t</w:t>
      </w:r>
      <w:r w:rsidRPr="00F74D60">
        <w:rPr>
          <w:noProof/>
          <w:sz w:val="18"/>
          <w:szCs w:val="18"/>
          <w:lang w:val="id-ID"/>
        </w:rPr>
        <w:t>antointanapik@yahoo.co</w:t>
      </w:r>
      <w:r>
        <w:rPr>
          <w:noProof/>
          <w:sz w:val="18"/>
          <w:szCs w:val="18"/>
          <w:lang w:val="id-ID"/>
        </w:rPr>
        <w:t>.id</w:t>
      </w:r>
    </w:p>
    <w:p w:rsidR="00F74D60" w:rsidRDefault="00F74D60" w:rsidP="00176D02">
      <w:pPr>
        <w:spacing w:before="0" w:line="240" w:lineRule="auto"/>
        <w:ind w:left="567" w:right="565" w:firstLine="0"/>
        <w:jc w:val="center"/>
        <w:rPr>
          <w:b/>
          <w:noProof/>
          <w:sz w:val="18"/>
          <w:szCs w:val="18"/>
          <w:lang w:val="id-ID"/>
        </w:rPr>
      </w:pPr>
    </w:p>
    <w:p w:rsidR="00176D02" w:rsidRPr="00176D02" w:rsidRDefault="00176D02" w:rsidP="00176D02">
      <w:pPr>
        <w:spacing w:before="0" w:line="240" w:lineRule="auto"/>
        <w:ind w:left="567" w:right="565" w:firstLine="0"/>
        <w:jc w:val="center"/>
        <w:rPr>
          <w:b/>
          <w:noProof/>
          <w:sz w:val="18"/>
          <w:szCs w:val="18"/>
        </w:rPr>
      </w:pPr>
      <w:r>
        <w:rPr>
          <w:b/>
          <w:noProof/>
          <w:sz w:val="18"/>
          <w:szCs w:val="18"/>
          <w:lang w:val="id-ID"/>
        </w:rPr>
        <w:t>Abstrac</w:t>
      </w:r>
      <w:r>
        <w:rPr>
          <w:b/>
          <w:noProof/>
          <w:sz w:val="18"/>
          <w:szCs w:val="18"/>
        </w:rPr>
        <w:t>t</w:t>
      </w:r>
    </w:p>
    <w:p w:rsidR="00F750EE" w:rsidRPr="00F74D60" w:rsidRDefault="00176D02" w:rsidP="00F750EE">
      <w:pPr>
        <w:spacing w:before="0" w:line="240" w:lineRule="auto"/>
        <w:ind w:left="567" w:right="379" w:firstLine="0"/>
        <w:rPr>
          <w:b/>
          <w:noProof/>
          <w:sz w:val="18"/>
          <w:szCs w:val="18"/>
          <w:lang w:val="id-ID"/>
        </w:rPr>
      </w:pPr>
      <w:r w:rsidRPr="0088412E">
        <w:rPr>
          <w:sz w:val="18"/>
          <w:szCs w:val="18"/>
        </w:rPr>
        <w:t>“</w:t>
      </w:r>
      <w:r>
        <w:rPr>
          <w:sz w:val="18"/>
          <w:szCs w:val="18"/>
          <w:lang w:val="id-ID"/>
        </w:rPr>
        <w:t>An Analysis of the Level of Information Technology (</w:t>
      </w:r>
      <w:r w:rsidRPr="0088412E">
        <w:rPr>
          <w:sz w:val="18"/>
          <w:szCs w:val="18"/>
          <w:lang w:val="id-ID"/>
        </w:rPr>
        <w:t>TI</w:t>
      </w:r>
      <w:r>
        <w:rPr>
          <w:sz w:val="18"/>
          <w:szCs w:val="18"/>
          <w:lang w:val="id-ID"/>
        </w:rPr>
        <w:t xml:space="preserve">) service satisfaction </w:t>
      </w:r>
      <w:r w:rsidRPr="0088412E">
        <w:rPr>
          <w:sz w:val="18"/>
          <w:szCs w:val="18"/>
          <w:lang w:val="id-ID"/>
        </w:rPr>
        <w:t xml:space="preserve"> (</w:t>
      </w:r>
      <w:r>
        <w:rPr>
          <w:sz w:val="18"/>
          <w:szCs w:val="18"/>
          <w:lang w:val="id-ID"/>
        </w:rPr>
        <w:t>A Case Study of Gojek Application</w:t>
      </w:r>
      <w:r w:rsidRPr="0088412E">
        <w:rPr>
          <w:sz w:val="18"/>
          <w:szCs w:val="18"/>
          <w:lang w:val="id-ID"/>
        </w:rPr>
        <w:t>)</w:t>
      </w:r>
      <w:r w:rsidRPr="0088412E">
        <w:rPr>
          <w:sz w:val="18"/>
          <w:szCs w:val="18"/>
        </w:rPr>
        <w:t>”</w:t>
      </w:r>
      <w:r w:rsidR="00F74D60">
        <w:rPr>
          <w:sz w:val="18"/>
          <w:szCs w:val="18"/>
          <w:lang w:val="id-ID"/>
        </w:rPr>
        <w:t>.</w:t>
      </w:r>
    </w:p>
    <w:p w:rsidR="00F750EE" w:rsidRPr="00F750EE" w:rsidRDefault="00F750EE" w:rsidP="00176D02">
      <w:pPr>
        <w:autoSpaceDE w:val="0"/>
        <w:autoSpaceDN w:val="0"/>
        <w:adjustRightInd w:val="0"/>
        <w:spacing w:line="240" w:lineRule="auto"/>
        <w:ind w:left="567" w:right="379" w:firstLine="0"/>
        <w:rPr>
          <w:iCs/>
          <w:color w:val="000000"/>
          <w:sz w:val="18"/>
          <w:szCs w:val="18"/>
          <w:lang w:val="id-ID"/>
        </w:rPr>
      </w:pPr>
      <w:r w:rsidRPr="00F750EE">
        <w:rPr>
          <w:iCs/>
          <w:color w:val="000000"/>
          <w:sz w:val="18"/>
          <w:szCs w:val="18"/>
          <w:lang w:val="id-ID"/>
        </w:rPr>
        <w:t>As a company which engages in the field of Information Technology (TI) services for ojek online transportation, PT. </w:t>
      </w:r>
      <w:r w:rsidRPr="00F750EE">
        <w:rPr>
          <w:iCs/>
          <w:sz w:val="18"/>
          <w:szCs w:val="18"/>
        </w:rPr>
        <w:t>Gojek</w:t>
      </w:r>
      <w:r>
        <w:rPr>
          <w:iCs/>
          <w:color w:val="000000"/>
          <w:sz w:val="18"/>
          <w:szCs w:val="18"/>
          <w:lang w:val="id-ID"/>
        </w:rPr>
        <w:t> Indonesia is</w:t>
      </w:r>
      <w:r w:rsidRPr="00F750EE">
        <w:rPr>
          <w:iCs/>
          <w:color w:val="000000"/>
          <w:sz w:val="18"/>
          <w:szCs w:val="18"/>
          <w:lang w:val="id-ID"/>
        </w:rPr>
        <w:t> influenced by the presence and customer loyalty. The researcher measured the level of  customer satisfaction by using 70 respondents. The researcher used Quality Service model which was developed by </w:t>
      </w:r>
      <w:r w:rsidRPr="00F750EE">
        <w:rPr>
          <w:iCs/>
          <w:sz w:val="18"/>
          <w:szCs w:val="18"/>
        </w:rPr>
        <w:t>Parasuraman</w:t>
      </w:r>
      <w:r w:rsidRPr="00F750EE">
        <w:rPr>
          <w:iCs/>
          <w:color w:val="000000"/>
          <w:sz w:val="18"/>
          <w:szCs w:val="18"/>
          <w:lang w:val="id-ID"/>
        </w:rPr>
        <w:t>, </w:t>
      </w:r>
      <w:r w:rsidRPr="00F750EE">
        <w:rPr>
          <w:iCs/>
          <w:sz w:val="18"/>
          <w:szCs w:val="18"/>
        </w:rPr>
        <w:t>Zeithaml</w:t>
      </w:r>
      <w:r w:rsidRPr="00F750EE">
        <w:rPr>
          <w:iCs/>
          <w:color w:val="000000"/>
          <w:sz w:val="18"/>
          <w:szCs w:val="18"/>
          <w:lang w:val="id-ID"/>
        </w:rPr>
        <w:t>, and Berry in 1985. This model consists of five dimensions : Tangible, Reliability, Responsiveness, Assurance, and E</w:t>
      </w:r>
      <w:r w:rsidRPr="00F750EE">
        <w:rPr>
          <w:sz w:val="18"/>
          <w:szCs w:val="18"/>
        </w:rPr>
        <w:t>mpathy</w:t>
      </w:r>
      <w:r w:rsidRPr="00F750EE">
        <w:rPr>
          <w:iCs/>
          <w:color w:val="000000"/>
          <w:sz w:val="18"/>
          <w:szCs w:val="18"/>
          <w:lang w:val="id-ID"/>
        </w:rPr>
        <w:t>. The result of investigation showed that the level of customer satisfaction was low for each presentation of dimension statement. It could be concluded that respondents (customers) stated that Information Technology (TI) application had not worked well yet based on the facts that the customers faced in their life.</w:t>
      </w:r>
    </w:p>
    <w:p w:rsidR="00176D02" w:rsidRPr="0088412E" w:rsidRDefault="00176D02" w:rsidP="00176D02">
      <w:pPr>
        <w:spacing w:before="0" w:line="240" w:lineRule="auto"/>
        <w:ind w:firstLine="0"/>
        <w:jc w:val="left"/>
        <w:rPr>
          <w:noProof/>
          <w:color w:val="4F81BD"/>
          <w:sz w:val="18"/>
          <w:szCs w:val="18"/>
        </w:rPr>
      </w:pPr>
    </w:p>
    <w:p w:rsidR="00176D02" w:rsidRPr="00B30956" w:rsidRDefault="00176D02" w:rsidP="00176D02">
      <w:pPr>
        <w:spacing w:before="0" w:line="240" w:lineRule="auto"/>
        <w:ind w:left="567" w:right="571" w:firstLine="0"/>
        <w:rPr>
          <w:noProof/>
          <w:sz w:val="18"/>
          <w:szCs w:val="18"/>
          <w:lang w:val="id-ID"/>
        </w:rPr>
      </w:pPr>
      <w:r>
        <w:rPr>
          <w:b/>
          <w:noProof/>
          <w:sz w:val="18"/>
          <w:szCs w:val="18"/>
        </w:rPr>
        <w:t>Keywords</w:t>
      </w:r>
      <w:r w:rsidRPr="0088412E">
        <w:rPr>
          <w:i/>
          <w:noProof/>
          <w:sz w:val="18"/>
          <w:szCs w:val="18"/>
          <w:lang w:val="id-ID"/>
        </w:rPr>
        <w:t xml:space="preserve">: </w:t>
      </w:r>
      <w:r w:rsidRPr="0088412E">
        <w:rPr>
          <w:sz w:val="18"/>
          <w:szCs w:val="18"/>
        </w:rPr>
        <w:t>Transporta</w:t>
      </w:r>
      <w:r>
        <w:rPr>
          <w:sz w:val="18"/>
          <w:szCs w:val="18"/>
          <w:lang w:val="id-ID"/>
        </w:rPr>
        <w:t>tion, customer service, Gojek Information Technology (TI) Application.</w:t>
      </w:r>
    </w:p>
    <w:p w:rsidR="00176D02" w:rsidRPr="009814ED" w:rsidRDefault="00176D02" w:rsidP="00176D02">
      <w:pPr>
        <w:spacing w:before="0" w:line="240" w:lineRule="auto"/>
        <w:ind w:firstLine="0"/>
        <w:jc w:val="left"/>
        <w:rPr>
          <w:b/>
          <w:noProof/>
          <w:szCs w:val="22"/>
        </w:rPr>
      </w:pPr>
    </w:p>
    <w:p w:rsidR="00176D02" w:rsidRPr="0088412E" w:rsidRDefault="00176D02" w:rsidP="00176D02">
      <w:pPr>
        <w:spacing w:before="0" w:line="240" w:lineRule="auto"/>
        <w:ind w:firstLine="0"/>
        <w:rPr>
          <w:b/>
          <w:noProof/>
          <w:sz w:val="20"/>
          <w:lang w:val="id-ID"/>
        </w:rPr>
      </w:pPr>
    </w:p>
    <w:p w:rsidR="00176D02" w:rsidRPr="0088412E" w:rsidRDefault="00176D02" w:rsidP="00176D02">
      <w:pPr>
        <w:pStyle w:val="ListParagraph"/>
        <w:numPr>
          <w:ilvl w:val="0"/>
          <w:numId w:val="1"/>
        </w:numPr>
        <w:spacing w:before="0" w:line="240" w:lineRule="auto"/>
        <w:ind w:left="567" w:hanging="567"/>
        <w:rPr>
          <w:b/>
          <w:noProof/>
          <w:sz w:val="20"/>
          <w:lang w:val="id-ID"/>
        </w:rPr>
      </w:pPr>
      <w:r>
        <w:rPr>
          <w:b/>
          <w:noProof/>
          <w:sz w:val="20"/>
        </w:rPr>
        <w:t>STUDY BACKGROUND</w:t>
      </w:r>
    </w:p>
    <w:p w:rsidR="00F750EE" w:rsidRPr="00F750EE" w:rsidRDefault="00F750EE" w:rsidP="00ED6EEC">
      <w:pPr>
        <w:autoSpaceDE w:val="0"/>
        <w:autoSpaceDN w:val="0"/>
        <w:adjustRightInd w:val="0"/>
        <w:spacing w:before="0" w:line="240" w:lineRule="auto"/>
        <w:rPr>
          <w:sz w:val="20"/>
          <w:lang w:eastAsia="id-ID"/>
        </w:rPr>
      </w:pPr>
      <w:r w:rsidRPr="00F750EE">
        <w:rPr>
          <w:sz w:val="20"/>
          <w:lang w:eastAsia="id-ID"/>
        </w:rPr>
        <w:t>The use of information systems (SI) and information technology (IT) does not see the size of an organization. Diverse human needs result in information technolog</w:t>
      </w:r>
      <w:r w:rsidR="00847241">
        <w:rPr>
          <w:sz w:val="20"/>
          <w:lang w:eastAsia="id-ID"/>
        </w:rPr>
        <w:t>y going forward and developing. O</w:t>
      </w:r>
      <w:r w:rsidRPr="00F750EE">
        <w:rPr>
          <w:sz w:val="20"/>
          <w:lang w:eastAsia="id-ID"/>
        </w:rPr>
        <w:t>ne of the basic human needs is that they want</w:t>
      </w:r>
      <w:r w:rsidR="00847241">
        <w:rPr>
          <w:sz w:val="20"/>
          <w:lang w:eastAsia="id-ID"/>
        </w:rPr>
        <w:t xml:space="preserve"> their </w:t>
      </w:r>
      <w:r w:rsidR="00345FDA">
        <w:rPr>
          <w:sz w:val="20"/>
          <w:lang w:eastAsia="id-ID"/>
        </w:rPr>
        <w:t>communication needs</w:t>
      </w:r>
      <w:r w:rsidR="00847241">
        <w:rPr>
          <w:sz w:val="20"/>
          <w:lang w:eastAsia="id-ID"/>
        </w:rPr>
        <w:t> resolve</w:t>
      </w:r>
      <w:r w:rsidRPr="00F750EE">
        <w:rPr>
          <w:sz w:val="20"/>
          <w:lang w:eastAsia="id-ID"/>
        </w:rPr>
        <w:t xml:space="preserve"> quickly and efficiently so it does not waste a lot of time and effort. This need makes mobile technology more developed. One example of mobile technology is an Android smartphone.</w:t>
      </w:r>
    </w:p>
    <w:p w:rsidR="00FE38CC" w:rsidRPr="0096784B" w:rsidRDefault="00FE38CC" w:rsidP="00ED6EEC">
      <w:pPr>
        <w:autoSpaceDE w:val="0"/>
        <w:autoSpaceDN w:val="0"/>
        <w:adjustRightInd w:val="0"/>
        <w:spacing w:before="0" w:line="240" w:lineRule="auto"/>
        <w:ind w:firstLine="709"/>
        <w:rPr>
          <w:sz w:val="18"/>
          <w:szCs w:val="18"/>
          <w:lang w:eastAsia="id-ID"/>
        </w:rPr>
      </w:pPr>
      <w:r w:rsidRPr="0096784B">
        <w:rPr>
          <w:sz w:val="18"/>
          <w:szCs w:val="18"/>
          <w:lang w:eastAsia="id-ID"/>
        </w:rPr>
        <w:t>Ojek ordered through the internet (online) which is widely used on Android is known as Gojek. This mode of shuttle transportation using online gadget or smart phone calling media began in June 2010 and the founder or CEO is Madine Makarin as</w:t>
      </w:r>
      <w:r w:rsidR="0096784B" w:rsidRPr="0096784B">
        <w:rPr>
          <w:sz w:val="18"/>
          <w:szCs w:val="18"/>
          <w:lang w:eastAsia="id-ID"/>
        </w:rPr>
        <w:t xml:space="preserve"> the</w:t>
      </w:r>
      <w:r w:rsidRPr="0096784B">
        <w:rPr>
          <w:sz w:val="18"/>
          <w:szCs w:val="18"/>
          <w:lang w:eastAsia="id-ID"/>
        </w:rPr>
        <w:t xml:space="preserve"> CEO, Brian Cu and Michaelangelo Moran. Today</w:t>
      </w:r>
      <w:r w:rsidR="0096784B" w:rsidRPr="0096784B">
        <w:rPr>
          <w:sz w:val="18"/>
          <w:szCs w:val="18"/>
          <w:lang w:eastAsia="id-ID"/>
        </w:rPr>
        <w:t>,</w:t>
      </w:r>
      <w:r w:rsidRPr="0096784B">
        <w:rPr>
          <w:sz w:val="18"/>
          <w:szCs w:val="18"/>
          <w:lang w:eastAsia="id-ID"/>
        </w:rPr>
        <w:t xml:space="preserve"> the attention to </w:t>
      </w:r>
      <w:r w:rsidR="0096784B" w:rsidRPr="0096784B">
        <w:rPr>
          <w:sz w:val="18"/>
          <w:szCs w:val="18"/>
          <w:lang w:eastAsia="id-ID"/>
        </w:rPr>
        <w:t xml:space="preserve">customers’ </w:t>
      </w:r>
      <w:r w:rsidRPr="0096784B">
        <w:rPr>
          <w:sz w:val="18"/>
          <w:szCs w:val="18"/>
          <w:lang w:eastAsia="id-ID"/>
        </w:rPr>
        <w:t>satisfaction and dissatisfaction has been greater because basically the purpose of a company is to cre</w:t>
      </w:r>
      <w:r w:rsidR="0096784B">
        <w:rPr>
          <w:sz w:val="18"/>
          <w:szCs w:val="18"/>
          <w:lang w:eastAsia="id-ID"/>
        </w:rPr>
        <w:t>ate a sense of satisfaction of</w:t>
      </w:r>
      <w:r w:rsidRPr="0096784B">
        <w:rPr>
          <w:sz w:val="18"/>
          <w:szCs w:val="18"/>
          <w:lang w:eastAsia="id-ID"/>
        </w:rPr>
        <w:t xml:space="preserve"> the customer. Juniartono's research (2013) on the level of service satisfa</w:t>
      </w:r>
      <w:r w:rsidR="0096784B">
        <w:rPr>
          <w:sz w:val="18"/>
          <w:szCs w:val="18"/>
          <w:lang w:eastAsia="id-ID"/>
        </w:rPr>
        <w:t>ction of CV. Delta Trans obtained</w:t>
      </w:r>
      <w:r w:rsidRPr="0096784B">
        <w:rPr>
          <w:sz w:val="18"/>
          <w:szCs w:val="18"/>
          <w:lang w:eastAsia="id-ID"/>
        </w:rPr>
        <w:t xml:space="preserve"> the difference between consumer perceptions of services received </w:t>
      </w:r>
      <w:r w:rsidR="0096784B">
        <w:rPr>
          <w:sz w:val="18"/>
          <w:szCs w:val="18"/>
          <w:lang w:eastAsia="id-ID"/>
        </w:rPr>
        <w:t>with</w:t>
      </w:r>
      <w:r w:rsidRPr="0096784B">
        <w:rPr>
          <w:sz w:val="18"/>
          <w:szCs w:val="18"/>
          <w:lang w:eastAsia="id-ID"/>
        </w:rPr>
        <w:t xml:space="preserve"> consumers</w:t>
      </w:r>
      <w:r w:rsidR="0096784B">
        <w:rPr>
          <w:sz w:val="18"/>
          <w:szCs w:val="18"/>
          <w:lang w:eastAsia="id-ID"/>
        </w:rPr>
        <w:t>’</w:t>
      </w:r>
      <w:r w:rsidR="00B52CB9">
        <w:rPr>
          <w:sz w:val="18"/>
          <w:szCs w:val="18"/>
          <w:lang w:eastAsia="id-ID"/>
        </w:rPr>
        <w:t xml:space="preserve"> hope toward the </w:t>
      </w:r>
      <w:r w:rsidRPr="0096784B">
        <w:rPr>
          <w:sz w:val="18"/>
          <w:szCs w:val="18"/>
          <w:lang w:eastAsia="id-ID"/>
        </w:rPr>
        <w:t>s</w:t>
      </w:r>
      <w:r w:rsidR="0096784B" w:rsidRPr="0096784B">
        <w:rPr>
          <w:sz w:val="18"/>
          <w:szCs w:val="18"/>
          <w:lang w:eastAsia="id-ID"/>
        </w:rPr>
        <w:t>ervices</w:t>
      </w:r>
      <w:r w:rsidR="00B52CB9">
        <w:rPr>
          <w:sz w:val="18"/>
          <w:szCs w:val="18"/>
          <w:lang w:eastAsia="id-ID"/>
        </w:rPr>
        <w:t xml:space="preserve"> that will be received</w:t>
      </w:r>
      <w:r w:rsidR="0096784B" w:rsidRPr="0096784B">
        <w:rPr>
          <w:sz w:val="18"/>
          <w:szCs w:val="18"/>
          <w:lang w:eastAsia="id-ID"/>
        </w:rPr>
        <w:t>. From this research, it</w:t>
      </w:r>
      <w:r w:rsidRPr="0096784B">
        <w:rPr>
          <w:sz w:val="18"/>
          <w:szCs w:val="18"/>
          <w:lang w:eastAsia="id-ID"/>
        </w:rPr>
        <w:t> interpreted that IT services existence on a quality Gojek application will affect consumer satisfaction. Satisfied consumers can be an effective source of marketing for companies, one of which is by recommending IT servi</w:t>
      </w:r>
      <w:r w:rsidR="00B52CB9">
        <w:rPr>
          <w:sz w:val="18"/>
          <w:szCs w:val="18"/>
          <w:lang w:eastAsia="id-ID"/>
        </w:rPr>
        <w:t>ces of</w:t>
      </w:r>
      <w:r w:rsidRPr="0096784B">
        <w:rPr>
          <w:sz w:val="18"/>
          <w:szCs w:val="18"/>
          <w:lang w:eastAsia="id-ID"/>
        </w:rPr>
        <w:t xml:space="preserve"> the Gojek application to other parties to increase the number of Gojek customers. The level of satisfaction has also been examined by Syarif (2014), and Wibowo (2015)</w:t>
      </w:r>
      <w:r w:rsidR="00B52CB9">
        <w:rPr>
          <w:sz w:val="18"/>
          <w:szCs w:val="18"/>
          <w:lang w:eastAsia="id-ID"/>
        </w:rPr>
        <w:t>. T</w:t>
      </w:r>
      <w:r w:rsidRPr="0096784B">
        <w:rPr>
          <w:sz w:val="18"/>
          <w:szCs w:val="18"/>
          <w:lang w:eastAsia="id-ID"/>
        </w:rPr>
        <w:t xml:space="preserve">he research conducted </w:t>
      </w:r>
      <w:r w:rsidR="00B52CB9">
        <w:rPr>
          <w:sz w:val="18"/>
          <w:szCs w:val="18"/>
          <w:lang w:eastAsia="id-ID"/>
        </w:rPr>
        <w:t xml:space="preserve">the </w:t>
      </w:r>
      <w:r w:rsidRPr="0096784B">
        <w:rPr>
          <w:sz w:val="18"/>
          <w:szCs w:val="18"/>
          <w:lang w:eastAsia="id-ID"/>
        </w:rPr>
        <w:t>assessing service quality by adopting user satisfactio</w:t>
      </w:r>
      <w:r w:rsidR="00B52CB9">
        <w:rPr>
          <w:sz w:val="18"/>
          <w:szCs w:val="18"/>
          <w:lang w:eastAsia="id-ID"/>
        </w:rPr>
        <w:t>n</w:t>
      </w:r>
      <w:r w:rsidRPr="0096784B">
        <w:rPr>
          <w:sz w:val="18"/>
          <w:szCs w:val="18"/>
          <w:lang w:eastAsia="id-ID"/>
        </w:rPr>
        <w:t xml:space="preserve"> measured from tangible, empathy, responsiveness, reliability, and assurance (Parasuraman et al. 1985).</w:t>
      </w:r>
    </w:p>
    <w:p w:rsidR="00ED6EEC" w:rsidRDefault="00FE38CC" w:rsidP="00FE38CC">
      <w:pPr>
        <w:autoSpaceDE w:val="0"/>
        <w:autoSpaceDN w:val="0"/>
        <w:adjustRightInd w:val="0"/>
        <w:spacing w:before="0" w:line="240" w:lineRule="auto"/>
        <w:ind w:firstLine="709"/>
        <w:rPr>
          <w:sz w:val="20"/>
          <w:lang w:eastAsia="id-ID"/>
        </w:rPr>
      </w:pPr>
      <w:r w:rsidRPr="0096784B">
        <w:rPr>
          <w:sz w:val="18"/>
          <w:szCs w:val="18"/>
          <w:lang w:eastAsia="id-ID"/>
        </w:rPr>
        <w:t>Satisfaction in serving customers is the performance reflection of service companies, including PT. Gojek Indonesia Palembang. The number of Gojek customers that are not yet known and that are spread demographically is the company's dilemma in knowing the level of customer satisfaction.</w:t>
      </w:r>
      <w:r w:rsidR="00B52CB9">
        <w:rPr>
          <w:sz w:val="18"/>
          <w:szCs w:val="18"/>
          <w:lang w:eastAsia="id-ID"/>
        </w:rPr>
        <w:t xml:space="preserve"> From this plan, the authors mad</w:t>
      </w:r>
      <w:r w:rsidRPr="0096784B">
        <w:rPr>
          <w:sz w:val="18"/>
          <w:szCs w:val="18"/>
          <w:lang w:eastAsia="id-ID"/>
        </w:rPr>
        <w:t>e "Analysis of IT Service Satisfaction Level (Case Study on </w:t>
      </w:r>
      <w:r w:rsidRPr="00FE38CC">
        <w:rPr>
          <w:sz w:val="20"/>
          <w:lang w:eastAsia="id-ID"/>
        </w:rPr>
        <w:t>Gojek Application)".</w:t>
      </w:r>
    </w:p>
    <w:p w:rsidR="00FE38CC" w:rsidRPr="00FE38CC" w:rsidRDefault="00FE38CC" w:rsidP="00FE38CC">
      <w:pPr>
        <w:autoSpaceDE w:val="0"/>
        <w:autoSpaceDN w:val="0"/>
        <w:adjustRightInd w:val="0"/>
        <w:spacing w:before="0" w:line="240" w:lineRule="auto"/>
        <w:ind w:firstLine="709"/>
        <w:rPr>
          <w:sz w:val="20"/>
          <w:lang w:eastAsia="id-ID"/>
        </w:rPr>
      </w:pPr>
    </w:p>
    <w:p w:rsidR="00176D02" w:rsidRPr="00176D02" w:rsidRDefault="00176D02" w:rsidP="00176D02">
      <w:pPr>
        <w:pStyle w:val="ListParagraph"/>
        <w:tabs>
          <w:tab w:val="left" w:pos="567"/>
        </w:tabs>
        <w:spacing w:before="0" w:line="240" w:lineRule="auto"/>
        <w:ind w:left="0" w:firstLine="0"/>
        <w:rPr>
          <w:b/>
          <w:noProof/>
          <w:sz w:val="20"/>
        </w:rPr>
      </w:pPr>
      <w:r w:rsidRPr="0088412E">
        <w:rPr>
          <w:b/>
          <w:noProof/>
          <w:sz w:val="20"/>
        </w:rPr>
        <w:t>2.</w:t>
      </w:r>
      <w:r w:rsidRPr="0088412E">
        <w:rPr>
          <w:b/>
          <w:noProof/>
          <w:sz w:val="20"/>
        </w:rPr>
        <w:tab/>
      </w:r>
      <w:r>
        <w:rPr>
          <w:b/>
          <w:noProof/>
          <w:sz w:val="20"/>
        </w:rPr>
        <w:t>RESEARCH METHOD</w:t>
      </w:r>
    </w:p>
    <w:p w:rsidR="00176D02" w:rsidRPr="0088412E" w:rsidRDefault="00176D02" w:rsidP="00176D02">
      <w:pPr>
        <w:pStyle w:val="ListParagraph"/>
        <w:tabs>
          <w:tab w:val="left" w:pos="567"/>
        </w:tabs>
        <w:spacing w:before="0" w:line="240" w:lineRule="auto"/>
        <w:ind w:left="0" w:firstLine="0"/>
        <w:jc w:val="left"/>
        <w:rPr>
          <w:b/>
          <w:sz w:val="20"/>
        </w:rPr>
      </w:pPr>
      <w:r w:rsidRPr="0088412E">
        <w:rPr>
          <w:b/>
          <w:noProof/>
          <w:sz w:val="20"/>
        </w:rPr>
        <w:t>2</w:t>
      </w:r>
      <w:r w:rsidRPr="0088412E">
        <w:rPr>
          <w:b/>
          <w:sz w:val="20"/>
        </w:rPr>
        <w:t xml:space="preserve">.1 </w:t>
      </w:r>
      <w:r w:rsidRPr="0088412E">
        <w:rPr>
          <w:b/>
          <w:sz w:val="20"/>
        </w:rPr>
        <w:tab/>
      </w:r>
      <w:r>
        <w:rPr>
          <w:b/>
          <w:sz w:val="20"/>
        </w:rPr>
        <w:t>Place and Time of Research</w:t>
      </w:r>
    </w:p>
    <w:p w:rsidR="00ED6EEC" w:rsidRDefault="00ED6EEC" w:rsidP="00176D02">
      <w:pPr>
        <w:pStyle w:val="ListParagraph"/>
        <w:tabs>
          <w:tab w:val="left" w:pos="567"/>
        </w:tabs>
        <w:spacing w:before="0" w:line="240" w:lineRule="auto"/>
        <w:ind w:left="0" w:firstLine="0"/>
        <w:jc w:val="left"/>
        <w:rPr>
          <w:sz w:val="20"/>
        </w:rPr>
      </w:pPr>
      <w:r>
        <w:rPr>
          <w:sz w:val="20"/>
        </w:rPr>
        <w:tab/>
      </w:r>
      <w:r w:rsidR="007C39D6" w:rsidRPr="00ED6EEC">
        <w:rPr>
          <w:sz w:val="20"/>
        </w:rPr>
        <w:t>This research took place at PT. Gojek Indonesia (Palembang Branch) JalanBasukiRahmat No. 1608 B-</w:t>
      </w:r>
      <w:r w:rsidRPr="00ED6EEC">
        <w:rPr>
          <w:sz w:val="20"/>
        </w:rPr>
        <w:t>D Palembang.</w:t>
      </w:r>
    </w:p>
    <w:p w:rsidR="00176D02" w:rsidRPr="0088412E" w:rsidRDefault="00176D02" w:rsidP="00176D02">
      <w:pPr>
        <w:pStyle w:val="ListParagraph"/>
        <w:tabs>
          <w:tab w:val="left" w:pos="567"/>
        </w:tabs>
        <w:spacing w:before="0" w:line="240" w:lineRule="auto"/>
        <w:ind w:left="0" w:firstLine="0"/>
        <w:jc w:val="left"/>
        <w:rPr>
          <w:b/>
          <w:sz w:val="20"/>
        </w:rPr>
      </w:pPr>
      <w:r w:rsidRPr="0088412E">
        <w:rPr>
          <w:b/>
          <w:sz w:val="20"/>
        </w:rPr>
        <w:t xml:space="preserve">2.2 </w:t>
      </w:r>
      <w:r w:rsidRPr="0088412E">
        <w:rPr>
          <w:b/>
          <w:sz w:val="20"/>
        </w:rPr>
        <w:tab/>
      </w:r>
      <w:r>
        <w:rPr>
          <w:b/>
          <w:sz w:val="20"/>
        </w:rPr>
        <w:t>Research Method</w:t>
      </w:r>
    </w:p>
    <w:p w:rsidR="00ED6EEC" w:rsidRDefault="00ED6EEC" w:rsidP="00176D02">
      <w:pPr>
        <w:pStyle w:val="ListParagraph"/>
        <w:tabs>
          <w:tab w:val="left" w:pos="567"/>
        </w:tabs>
        <w:spacing w:before="0" w:line="240" w:lineRule="auto"/>
        <w:ind w:left="0" w:firstLine="0"/>
        <w:rPr>
          <w:sz w:val="20"/>
        </w:rPr>
      </w:pPr>
      <w:r>
        <w:rPr>
          <w:sz w:val="20"/>
        </w:rPr>
        <w:tab/>
      </w:r>
      <w:r w:rsidR="00B52CB9">
        <w:rPr>
          <w:sz w:val="20"/>
        </w:rPr>
        <w:t>This study used</w:t>
      </w:r>
      <w:r w:rsidRPr="00ED6EEC">
        <w:rPr>
          <w:sz w:val="20"/>
        </w:rPr>
        <w:t xml:space="preserve"> a quantitative descriptive approach. Quantitative approac</w:t>
      </w:r>
      <w:r w:rsidR="007C39D6">
        <w:rPr>
          <w:sz w:val="20"/>
        </w:rPr>
        <w:t xml:space="preserve">h is a research approach that </w:t>
      </w:r>
      <w:r w:rsidRPr="00ED6EEC">
        <w:rPr>
          <w:sz w:val="20"/>
        </w:rPr>
        <w:t>carried out by processing and presenting data using statistical calculations involving numbers or scores / values to enable researchers to make decisions objective</w:t>
      </w:r>
      <w:r w:rsidR="00901872">
        <w:rPr>
          <w:sz w:val="20"/>
        </w:rPr>
        <w:t xml:space="preserve">ly. The using ofthis </w:t>
      </w:r>
      <w:r w:rsidR="00B52CB9">
        <w:rPr>
          <w:sz w:val="20"/>
        </w:rPr>
        <w:t>approach was because it wa</w:t>
      </w:r>
      <w:r w:rsidRPr="00ED6EEC">
        <w:rPr>
          <w:sz w:val="20"/>
        </w:rPr>
        <w:t>s relevant to the problem</w:t>
      </w:r>
      <w:r w:rsidR="007C39D6">
        <w:rPr>
          <w:sz w:val="20"/>
        </w:rPr>
        <w:t xml:space="preserve"> formulation</w:t>
      </w:r>
      <w:r w:rsidR="00B52CB9">
        <w:rPr>
          <w:sz w:val="20"/>
        </w:rPr>
        <w:t>of this study which wa</w:t>
      </w:r>
      <w:r w:rsidRPr="00ED6EEC">
        <w:rPr>
          <w:sz w:val="20"/>
        </w:rPr>
        <w:t>s trying to describe and know the gap of the variables under study.</w:t>
      </w:r>
    </w:p>
    <w:p w:rsidR="00ED6EEC" w:rsidRDefault="00ED6EEC" w:rsidP="00176D02">
      <w:pPr>
        <w:pStyle w:val="ListParagraph"/>
        <w:tabs>
          <w:tab w:val="left" w:pos="567"/>
        </w:tabs>
        <w:spacing w:before="0" w:line="240" w:lineRule="auto"/>
        <w:ind w:left="0" w:firstLine="0"/>
        <w:rPr>
          <w:sz w:val="20"/>
        </w:rPr>
      </w:pPr>
    </w:p>
    <w:p w:rsidR="00ED6EEC" w:rsidRDefault="00ED6EEC" w:rsidP="00176D02">
      <w:pPr>
        <w:pStyle w:val="ListParagraph"/>
        <w:tabs>
          <w:tab w:val="left" w:pos="567"/>
        </w:tabs>
        <w:spacing w:before="0" w:line="240" w:lineRule="auto"/>
        <w:ind w:left="0" w:firstLine="0"/>
        <w:rPr>
          <w:sz w:val="20"/>
        </w:rPr>
      </w:pPr>
    </w:p>
    <w:p w:rsidR="00901872" w:rsidRDefault="00901872" w:rsidP="00176D02">
      <w:pPr>
        <w:pStyle w:val="ListParagraph"/>
        <w:tabs>
          <w:tab w:val="left" w:pos="567"/>
        </w:tabs>
        <w:spacing w:before="0" w:line="240" w:lineRule="auto"/>
        <w:ind w:left="0" w:firstLine="0"/>
        <w:rPr>
          <w:sz w:val="20"/>
        </w:rPr>
      </w:pPr>
    </w:p>
    <w:p w:rsidR="00B52CB9" w:rsidRDefault="00B52CB9" w:rsidP="00176D02">
      <w:pPr>
        <w:pStyle w:val="ListParagraph"/>
        <w:tabs>
          <w:tab w:val="left" w:pos="567"/>
        </w:tabs>
        <w:spacing w:before="0" w:line="240" w:lineRule="auto"/>
        <w:ind w:left="0" w:firstLine="0"/>
        <w:rPr>
          <w:sz w:val="20"/>
        </w:rPr>
      </w:pPr>
    </w:p>
    <w:p w:rsidR="00B52CB9" w:rsidRDefault="00B52CB9" w:rsidP="00176D02">
      <w:pPr>
        <w:pStyle w:val="ListParagraph"/>
        <w:tabs>
          <w:tab w:val="left" w:pos="567"/>
        </w:tabs>
        <w:spacing w:before="0" w:line="240" w:lineRule="auto"/>
        <w:ind w:left="0" w:firstLine="0"/>
        <w:rPr>
          <w:sz w:val="20"/>
        </w:rPr>
      </w:pPr>
    </w:p>
    <w:p w:rsidR="00B52CB9" w:rsidRDefault="00B52CB9" w:rsidP="00176D02">
      <w:pPr>
        <w:pStyle w:val="ListParagraph"/>
        <w:tabs>
          <w:tab w:val="left" w:pos="567"/>
        </w:tabs>
        <w:spacing w:before="0" w:line="240" w:lineRule="auto"/>
        <w:ind w:left="0" w:firstLine="0"/>
        <w:rPr>
          <w:sz w:val="20"/>
        </w:rPr>
      </w:pPr>
    </w:p>
    <w:p w:rsidR="00176D02" w:rsidRPr="0088412E" w:rsidRDefault="00176D02" w:rsidP="00176D02">
      <w:pPr>
        <w:pStyle w:val="ListParagraph"/>
        <w:tabs>
          <w:tab w:val="left" w:pos="567"/>
        </w:tabs>
        <w:spacing w:before="0" w:line="240" w:lineRule="auto"/>
        <w:ind w:left="0" w:firstLine="0"/>
        <w:rPr>
          <w:b/>
          <w:sz w:val="20"/>
        </w:rPr>
      </w:pPr>
      <w:r w:rsidRPr="0088412E">
        <w:rPr>
          <w:b/>
          <w:sz w:val="20"/>
        </w:rPr>
        <w:t xml:space="preserve">2.3 </w:t>
      </w:r>
      <w:r w:rsidRPr="0088412E">
        <w:rPr>
          <w:b/>
          <w:sz w:val="20"/>
        </w:rPr>
        <w:tab/>
      </w:r>
      <w:r w:rsidR="00ED6EEC" w:rsidRPr="00ED6EEC">
        <w:rPr>
          <w:b/>
          <w:sz w:val="20"/>
          <w:lang w:val="id-ID"/>
        </w:rPr>
        <w:t>Flow of Research Activities</w:t>
      </w:r>
    </w:p>
    <w:p w:rsidR="00ED6EEC" w:rsidRDefault="00ED6EEC" w:rsidP="00ED6EEC">
      <w:pPr>
        <w:tabs>
          <w:tab w:val="left" w:pos="567"/>
        </w:tabs>
        <w:spacing w:before="0" w:line="240" w:lineRule="auto"/>
        <w:ind w:firstLine="0"/>
        <w:rPr>
          <w:sz w:val="20"/>
        </w:rPr>
      </w:pPr>
      <w:r>
        <w:rPr>
          <w:sz w:val="20"/>
        </w:rPr>
        <w:tab/>
      </w:r>
      <w:r w:rsidRPr="00ED6EEC">
        <w:rPr>
          <w:sz w:val="20"/>
        </w:rPr>
        <w:t>The flow of this research activity</w:t>
      </w:r>
      <w:r w:rsidR="00901872">
        <w:rPr>
          <w:sz w:val="20"/>
        </w:rPr>
        <w:t xml:space="preserve"> wa</w:t>
      </w:r>
      <w:r w:rsidRPr="00ED6EEC">
        <w:rPr>
          <w:sz w:val="20"/>
        </w:rPr>
        <w:t xml:space="preserve">s expected to </w:t>
      </w:r>
      <w:r w:rsidR="00CE0AB6">
        <w:rPr>
          <w:sz w:val="20"/>
        </w:rPr>
        <w:t>help</w:t>
      </w:r>
      <w:r w:rsidRPr="00ED6EEC">
        <w:rPr>
          <w:sz w:val="20"/>
        </w:rPr>
        <w:t xml:space="preserve"> and be able to reac</w:t>
      </w:r>
      <w:r w:rsidR="00B52CB9">
        <w:rPr>
          <w:sz w:val="20"/>
        </w:rPr>
        <w:t>h the target according to what wa</w:t>
      </w:r>
      <w:r w:rsidRPr="00ED6EEC">
        <w:rPr>
          <w:sz w:val="20"/>
        </w:rPr>
        <w:t>s desired. To streamline this research activity carried out on a regular basis, namely with the form of systematic</w:t>
      </w:r>
      <w:r>
        <w:rPr>
          <w:sz w:val="20"/>
        </w:rPr>
        <w:t xml:space="preserve"> stages such as the picture below:</w:t>
      </w:r>
    </w:p>
    <w:p w:rsidR="00176D02" w:rsidRPr="0088412E" w:rsidRDefault="00176D02" w:rsidP="00ED6EEC">
      <w:pPr>
        <w:tabs>
          <w:tab w:val="left" w:pos="567"/>
        </w:tabs>
        <w:spacing w:before="0" w:line="240" w:lineRule="auto"/>
        <w:ind w:firstLine="0"/>
        <w:rPr>
          <w:b/>
          <w:sz w:val="20"/>
          <w:lang w:val="id-ID"/>
        </w:rPr>
      </w:pPr>
      <w:r w:rsidRPr="0088412E">
        <w:rPr>
          <w:b/>
          <w:sz w:val="20"/>
        </w:rPr>
        <w:object w:dxaOrig="10834" w:dyaOrig="11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270.75pt" o:ole="">
            <v:imagedata r:id="rId8" o:title=""/>
          </v:shape>
          <o:OLEObject Type="Embed" ProgID="Visio.Drawing.11" ShapeID="_x0000_i1025" DrawAspect="Content" ObjectID="_1633971137" r:id="rId9"/>
        </w:object>
      </w:r>
    </w:p>
    <w:p w:rsidR="00176D02" w:rsidRDefault="00ED6EEC" w:rsidP="00176D02">
      <w:pPr>
        <w:tabs>
          <w:tab w:val="left" w:pos="567"/>
        </w:tabs>
        <w:spacing w:before="0" w:line="240" w:lineRule="auto"/>
        <w:jc w:val="center"/>
        <w:rPr>
          <w:sz w:val="20"/>
        </w:rPr>
      </w:pPr>
      <w:r>
        <w:rPr>
          <w:b/>
          <w:sz w:val="20"/>
        </w:rPr>
        <w:t>Figure</w:t>
      </w:r>
      <w:r w:rsidR="00176D02" w:rsidRPr="0088412E">
        <w:rPr>
          <w:b/>
          <w:sz w:val="20"/>
        </w:rPr>
        <w:t xml:space="preserve"> 1</w:t>
      </w:r>
      <w:r w:rsidRPr="00ED6EEC">
        <w:rPr>
          <w:sz w:val="20"/>
          <w:lang w:val="id-ID"/>
        </w:rPr>
        <w:t>Flowchart of Research Activities</w:t>
      </w:r>
    </w:p>
    <w:p w:rsidR="00ED6EEC" w:rsidRPr="00ED6EEC" w:rsidRDefault="00ED6EEC" w:rsidP="00176D02">
      <w:pPr>
        <w:tabs>
          <w:tab w:val="left" w:pos="567"/>
        </w:tabs>
        <w:spacing w:before="0" w:line="240" w:lineRule="auto"/>
        <w:jc w:val="center"/>
        <w:rPr>
          <w:b/>
          <w:noProof/>
          <w:sz w:val="20"/>
        </w:rPr>
      </w:pPr>
    </w:p>
    <w:p w:rsidR="00176D02" w:rsidRPr="00176D02" w:rsidRDefault="00176D02" w:rsidP="00176D02">
      <w:pPr>
        <w:pStyle w:val="ListParagraph"/>
        <w:tabs>
          <w:tab w:val="left" w:pos="567"/>
        </w:tabs>
        <w:spacing w:before="0" w:line="240" w:lineRule="auto"/>
        <w:ind w:left="0" w:firstLine="0"/>
        <w:rPr>
          <w:b/>
          <w:noProof/>
          <w:sz w:val="20"/>
        </w:rPr>
      </w:pPr>
      <w:r w:rsidRPr="0088412E">
        <w:rPr>
          <w:b/>
          <w:noProof/>
          <w:sz w:val="20"/>
        </w:rPr>
        <w:t>3.</w:t>
      </w:r>
      <w:r w:rsidRPr="0088412E">
        <w:rPr>
          <w:b/>
          <w:noProof/>
          <w:sz w:val="20"/>
        </w:rPr>
        <w:tab/>
      </w:r>
      <w:r>
        <w:rPr>
          <w:b/>
          <w:noProof/>
          <w:sz w:val="20"/>
        </w:rPr>
        <w:t>RESULT AND DISCUSSION</w:t>
      </w:r>
    </w:p>
    <w:p w:rsidR="00176D02" w:rsidRDefault="00176D02" w:rsidP="00176D02">
      <w:pPr>
        <w:tabs>
          <w:tab w:val="left" w:pos="567"/>
        </w:tabs>
        <w:autoSpaceDE w:val="0"/>
        <w:autoSpaceDN w:val="0"/>
        <w:adjustRightInd w:val="0"/>
        <w:spacing w:before="0" w:line="240" w:lineRule="auto"/>
        <w:ind w:firstLine="0"/>
        <w:rPr>
          <w:b/>
          <w:sz w:val="20"/>
          <w:lang w:val="id-ID" w:eastAsia="id-ID"/>
        </w:rPr>
      </w:pPr>
      <w:r w:rsidRPr="00BB775F">
        <w:rPr>
          <w:b/>
          <w:sz w:val="20"/>
          <w:lang w:val="id-ID" w:eastAsia="id-ID"/>
        </w:rPr>
        <w:t>3.1</w:t>
      </w:r>
      <w:r w:rsidRPr="00BB775F">
        <w:rPr>
          <w:b/>
          <w:sz w:val="20"/>
          <w:lang w:val="id-ID" w:eastAsia="id-ID"/>
        </w:rPr>
        <w:tab/>
      </w:r>
      <w:r>
        <w:rPr>
          <w:b/>
          <w:sz w:val="20"/>
          <w:lang w:val="id-ID" w:eastAsia="id-ID"/>
        </w:rPr>
        <w:t>Validity Test an</w:t>
      </w:r>
      <w:r>
        <w:rPr>
          <w:b/>
          <w:sz w:val="20"/>
          <w:lang w:eastAsia="id-ID"/>
        </w:rPr>
        <w:t>d Reliability Test</w:t>
      </w:r>
    </w:p>
    <w:p w:rsidR="00CE0AB6" w:rsidRDefault="00176D02" w:rsidP="00176D02">
      <w:pPr>
        <w:tabs>
          <w:tab w:val="left" w:pos="567"/>
        </w:tabs>
        <w:autoSpaceDE w:val="0"/>
        <w:autoSpaceDN w:val="0"/>
        <w:adjustRightInd w:val="0"/>
        <w:spacing w:before="0" w:line="240" w:lineRule="auto"/>
        <w:ind w:firstLine="0"/>
        <w:rPr>
          <w:rFonts w:ascii="Helvetica" w:hAnsi="Helvetica"/>
          <w:color w:val="000000"/>
          <w:sz w:val="20"/>
          <w:shd w:val="clear" w:color="auto" w:fill="FFFFFF"/>
        </w:rPr>
      </w:pPr>
      <w:r>
        <w:rPr>
          <w:sz w:val="20"/>
          <w:lang w:val="id-ID" w:eastAsia="id-ID"/>
        </w:rPr>
        <w:tab/>
      </w:r>
      <w:r w:rsidR="00CE0AB6" w:rsidRPr="00CE0AB6">
        <w:rPr>
          <w:color w:val="000000"/>
          <w:sz w:val="20"/>
        </w:rPr>
        <w:t>From the results of the instrument trials conducted on 70 respondents showed the results of the validity test consisting of 7 items tangible variable statements (</w:t>
      </w:r>
      <w:r w:rsidR="00CE0AB6" w:rsidRPr="00CE0AB6">
        <w:t>X</w:t>
      </w:r>
      <w:r w:rsidR="00CE0AB6" w:rsidRPr="00B52CB9">
        <w:rPr>
          <w:vertAlign w:val="subscript"/>
        </w:rPr>
        <w:t>1</w:t>
      </w:r>
      <w:r w:rsidR="00CE0AB6" w:rsidRPr="00CE0AB6">
        <w:rPr>
          <w:color w:val="000000"/>
          <w:sz w:val="20"/>
        </w:rPr>
        <w:t>), 10 items empathy variable statements (X</w:t>
      </w:r>
      <w:r w:rsidR="00CE0AB6" w:rsidRPr="00B52CB9">
        <w:rPr>
          <w:color w:val="000000"/>
          <w:sz w:val="20"/>
          <w:vertAlign w:val="subscript"/>
        </w:rPr>
        <w:t>2</w:t>
      </w:r>
      <w:r w:rsidR="00CE0AB6" w:rsidRPr="00CE0AB6">
        <w:rPr>
          <w:color w:val="000000"/>
          <w:sz w:val="20"/>
        </w:rPr>
        <w:t>), 9 responsiveness variable statement items (</w:t>
      </w:r>
      <w:r w:rsidR="00CE0AB6" w:rsidRPr="00CE0AB6">
        <w:t>X</w:t>
      </w:r>
      <w:r w:rsidR="00CE0AB6" w:rsidRPr="00145D57">
        <w:rPr>
          <w:vertAlign w:val="subscript"/>
        </w:rPr>
        <w:t>3</w:t>
      </w:r>
      <w:r w:rsidR="00CE0AB6" w:rsidRPr="00CE0AB6">
        <w:rPr>
          <w:color w:val="000000"/>
          <w:sz w:val="20"/>
        </w:rPr>
        <w:t>), 7 reliability variable statement items (</w:t>
      </w:r>
      <w:r w:rsidR="00CE0AB6" w:rsidRPr="00CE0AB6">
        <w:t>X</w:t>
      </w:r>
      <w:r w:rsidR="00CE0AB6" w:rsidRPr="00145D57">
        <w:rPr>
          <w:vertAlign w:val="subscript"/>
        </w:rPr>
        <w:t>4</w:t>
      </w:r>
      <w:r w:rsidR="00CE0AB6" w:rsidRPr="00CE0AB6">
        <w:rPr>
          <w:color w:val="000000"/>
          <w:sz w:val="20"/>
        </w:rPr>
        <w:t>), and the 6 items of the assurance variable statement</w:t>
      </w:r>
      <w:r w:rsidR="00145D57" w:rsidRPr="00CE0AB6">
        <w:rPr>
          <w:color w:val="000000"/>
          <w:sz w:val="20"/>
        </w:rPr>
        <w:t>(</w:t>
      </w:r>
      <w:r w:rsidR="00145D57" w:rsidRPr="00CE0AB6">
        <w:t>X</w:t>
      </w:r>
      <w:r w:rsidR="00145D57" w:rsidRPr="00145D57">
        <w:rPr>
          <w:vertAlign w:val="subscript"/>
        </w:rPr>
        <w:t>5</w:t>
      </w:r>
      <w:r w:rsidR="00145D57">
        <w:rPr>
          <w:color w:val="000000"/>
          <w:sz w:val="20"/>
        </w:rPr>
        <w:t>) we</w:t>
      </w:r>
      <w:r w:rsidR="00CE0AB6" w:rsidRPr="00CE0AB6">
        <w:rPr>
          <w:color w:val="000000"/>
          <w:sz w:val="20"/>
        </w:rPr>
        <w:t xml:space="preserve">re valid </w:t>
      </w:r>
      <w:r w:rsidR="00145D57">
        <w:rPr>
          <w:color w:val="000000"/>
          <w:sz w:val="20"/>
        </w:rPr>
        <w:t xml:space="preserve">which </w:t>
      </w:r>
      <w:r w:rsidR="00CE0AB6" w:rsidRPr="00CE0AB6">
        <w:rPr>
          <w:color w:val="000000"/>
          <w:sz w:val="20"/>
        </w:rPr>
        <w:t xml:space="preserve">considered to </w:t>
      </w:r>
      <w:r w:rsidR="00145D57">
        <w:rPr>
          <w:color w:val="000000"/>
          <w:sz w:val="20"/>
        </w:rPr>
        <w:t>fulfill the requirements with r</w:t>
      </w:r>
      <w:r w:rsidR="00CE0AB6" w:rsidRPr="00145D57">
        <w:rPr>
          <w:color w:val="000000"/>
          <w:sz w:val="20"/>
          <w:vertAlign w:val="subscript"/>
        </w:rPr>
        <w:t>count</w:t>
      </w:r>
      <w:r w:rsidR="00145D57">
        <w:rPr>
          <w:color w:val="000000"/>
          <w:sz w:val="20"/>
        </w:rPr>
        <w:t>&gt;r</w:t>
      </w:r>
      <w:r w:rsidR="00CE0AB6" w:rsidRPr="00145D57">
        <w:rPr>
          <w:color w:val="000000"/>
          <w:sz w:val="20"/>
          <w:vertAlign w:val="subscript"/>
        </w:rPr>
        <w:t>table</w:t>
      </w:r>
      <w:r w:rsidR="00CE0AB6" w:rsidRPr="00CE0AB6">
        <w:rPr>
          <w:color w:val="000000"/>
          <w:sz w:val="20"/>
        </w:rPr>
        <w:t xml:space="preserve"> (0.235). This means that all </w:t>
      </w:r>
      <w:r w:rsidR="00CE0AB6" w:rsidRPr="00145D57">
        <w:rPr>
          <w:color w:val="000000"/>
          <w:sz w:val="18"/>
          <w:szCs w:val="18"/>
        </w:rPr>
        <w:t>statement items in the instrument </w:t>
      </w:r>
      <w:r w:rsidR="00145D57" w:rsidRPr="00145D57">
        <w:rPr>
          <w:sz w:val="18"/>
          <w:szCs w:val="18"/>
        </w:rPr>
        <w:t>could</w:t>
      </w:r>
      <w:r w:rsidR="00CE0AB6" w:rsidRPr="00145D57">
        <w:rPr>
          <w:sz w:val="18"/>
          <w:szCs w:val="18"/>
        </w:rPr>
        <w:t xml:space="preserve"> be</w:t>
      </w:r>
      <w:r w:rsidR="00CE0AB6" w:rsidRPr="00145D57">
        <w:rPr>
          <w:color w:val="000000"/>
          <w:sz w:val="18"/>
          <w:szCs w:val="18"/>
        </w:rPr>
        <w:t> used</w:t>
      </w:r>
      <w:r w:rsidR="00CE0AB6" w:rsidRPr="00CE0AB6">
        <w:rPr>
          <w:color w:val="000000"/>
          <w:sz w:val="20"/>
        </w:rPr>
        <w:t xml:space="preserve"> as indicators as valid measurement tools in next analyzes.</w:t>
      </w:r>
    </w:p>
    <w:p w:rsidR="00ED6EEC" w:rsidRDefault="00ED6EEC" w:rsidP="00176D02">
      <w:pPr>
        <w:tabs>
          <w:tab w:val="left" w:pos="567"/>
        </w:tabs>
        <w:autoSpaceDE w:val="0"/>
        <w:autoSpaceDN w:val="0"/>
        <w:adjustRightInd w:val="0"/>
        <w:spacing w:before="0" w:line="240" w:lineRule="auto"/>
        <w:ind w:firstLine="0"/>
        <w:rPr>
          <w:color w:val="000000"/>
          <w:sz w:val="20"/>
        </w:rPr>
      </w:pPr>
      <w:r>
        <w:rPr>
          <w:color w:val="000000"/>
          <w:sz w:val="20"/>
        </w:rPr>
        <w:tab/>
      </w:r>
      <w:r w:rsidRPr="00ED6EEC">
        <w:rPr>
          <w:color w:val="000000"/>
          <w:sz w:val="20"/>
        </w:rPr>
        <w:t>From the results of the tangible variable reliability test (X</w:t>
      </w:r>
      <w:r w:rsidRPr="00145D57">
        <w:rPr>
          <w:color w:val="000000"/>
          <w:sz w:val="20"/>
          <w:vertAlign w:val="subscript"/>
        </w:rPr>
        <w:t>1</w:t>
      </w:r>
      <w:r w:rsidRPr="00ED6EEC">
        <w:rPr>
          <w:color w:val="000000"/>
          <w:sz w:val="20"/>
        </w:rPr>
        <w:t xml:space="preserve">) </w:t>
      </w:r>
      <w:r w:rsidR="00145D57">
        <w:rPr>
          <w:color w:val="000000"/>
          <w:sz w:val="20"/>
        </w:rPr>
        <w:t>consisted</w:t>
      </w:r>
      <w:r w:rsidRPr="00ED6EEC">
        <w:rPr>
          <w:color w:val="000000"/>
          <w:sz w:val="20"/>
        </w:rPr>
        <w:t xml:space="preserve"> of 7 item statements, the Cronbach's</w:t>
      </w:r>
      <w:r w:rsidR="00145D57">
        <w:rPr>
          <w:color w:val="000000"/>
          <w:sz w:val="20"/>
        </w:rPr>
        <w:t>Alpha correlation value wa</w:t>
      </w:r>
      <w:r w:rsidRPr="00ED6EEC">
        <w:rPr>
          <w:color w:val="000000"/>
          <w:sz w:val="20"/>
        </w:rPr>
        <w:t xml:space="preserve">s 0.944. In the </w:t>
      </w:r>
      <w:r w:rsidR="00CE0AB6" w:rsidRPr="00ED6EEC">
        <w:rPr>
          <w:color w:val="000000"/>
          <w:sz w:val="20"/>
        </w:rPr>
        <w:t>empathy</w:t>
      </w:r>
      <w:r w:rsidRPr="00ED6EEC">
        <w:rPr>
          <w:color w:val="000000"/>
          <w:sz w:val="20"/>
        </w:rPr>
        <w:t xml:space="preserve"> variable reliability test (X</w:t>
      </w:r>
      <w:r w:rsidRPr="00145D57">
        <w:rPr>
          <w:color w:val="000000"/>
          <w:sz w:val="20"/>
          <w:vertAlign w:val="subscript"/>
        </w:rPr>
        <w:t>2</w:t>
      </w:r>
      <w:r w:rsidR="00145D57">
        <w:rPr>
          <w:color w:val="000000"/>
          <w:sz w:val="20"/>
        </w:rPr>
        <w:t>) consisted</w:t>
      </w:r>
      <w:r w:rsidRPr="00ED6EEC">
        <w:rPr>
          <w:color w:val="000000"/>
          <w:sz w:val="20"/>
        </w:rPr>
        <w:t xml:space="preserve"> of 10 item statements, the Cronbach's Alpha correlation value was 0.96. In the responsiveness variable reliability test (X</w:t>
      </w:r>
      <w:r w:rsidRPr="00145D57">
        <w:rPr>
          <w:color w:val="000000"/>
          <w:sz w:val="20"/>
          <w:vertAlign w:val="subscript"/>
        </w:rPr>
        <w:t>3</w:t>
      </w:r>
      <w:r w:rsidR="00145D57">
        <w:rPr>
          <w:color w:val="000000"/>
          <w:sz w:val="20"/>
        </w:rPr>
        <w:t>) consisted</w:t>
      </w:r>
      <w:r w:rsidRPr="00ED6EEC">
        <w:rPr>
          <w:color w:val="000000"/>
          <w:sz w:val="20"/>
        </w:rPr>
        <w:t xml:space="preserve"> of 9 item statements, the Cronb</w:t>
      </w:r>
      <w:r w:rsidR="00145D57">
        <w:rPr>
          <w:color w:val="000000"/>
          <w:sz w:val="20"/>
        </w:rPr>
        <w:t>ach's Alpha correlation value wa</w:t>
      </w:r>
      <w:r w:rsidRPr="00ED6EEC">
        <w:rPr>
          <w:color w:val="000000"/>
          <w:sz w:val="20"/>
        </w:rPr>
        <w:t>s 0.955. Reliability variable reliability test results (X</w:t>
      </w:r>
      <w:r w:rsidRPr="00145D57">
        <w:rPr>
          <w:color w:val="000000"/>
          <w:sz w:val="20"/>
          <w:vertAlign w:val="subscript"/>
        </w:rPr>
        <w:t>4</w:t>
      </w:r>
      <w:r w:rsidR="00145D57">
        <w:rPr>
          <w:color w:val="000000"/>
          <w:sz w:val="20"/>
        </w:rPr>
        <w:t>) consisted</w:t>
      </w:r>
      <w:r w:rsidRPr="00ED6EEC">
        <w:rPr>
          <w:color w:val="000000"/>
          <w:sz w:val="20"/>
        </w:rPr>
        <w:t xml:space="preserve"> of 7 item statements, Cron</w:t>
      </w:r>
      <w:r w:rsidR="00145D57">
        <w:rPr>
          <w:color w:val="000000"/>
          <w:sz w:val="20"/>
        </w:rPr>
        <w:t>bach's Alpha correlation value wa</w:t>
      </w:r>
      <w:r w:rsidRPr="00ED6EEC">
        <w:rPr>
          <w:color w:val="000000"/>
          <w:sz w:val="20"/>
        </w:rPr>
        <w:t>s 0.942. And from the results of the assurance variable reliability test (X</w:t>
      </w:r>
      <w:r w:rsidRPr="00145D57">
        <w:rPr>
          <w:color w:val="000000"/>
          <w:sz w:val="20"/>
          <w:vertAlign w:val="subscript"/>
        </w:rPr>
        <w:t>5</w:t>
      </w:r>
      <w:r w:rsidRPr="00ED6EEC">
        <w:rPr>
          <w:color w:val="000000"/>
          <w:sz w:val="20"/>
        </w:rPr>
        <w:t>) of the 6 item statements, the Cron</w:t>
      </w:r>
      <w:r w:rsidR="00145D57">
        <w:rPr>
          <w:color w:val="000000"/>
          <w:sz w:val="20"/>
        </w:rPr>
        <w:t>bach's Alpha correlation value wa</w:t>
      </w:r>
      <w:r w:rsidRPr="00ED6EEC">
        <w:rPr>
          <w:color w:val="000000"/>
          <w:sz w:val="20"/>
        </w:rPr>
        <w:t>s</w:t>
      </w:r>
      <w:r w:rsidR="00145D57">
        <w:rPr>
          <w:color w:val="000000"/>
          <w:sz w:val="20"/>
        </w:rPr>
        <w:t xml:space="preserve"> 0.938. For all variables it</w:t>
      </w:r>
      <w:r w:rsidRPr="00ED6EEC">
        <w:rPr>
          <w:color w:val="000000"/>
          <w:sz w:val="20"/>
        </w:rPr>
        <w:t xml:space="preserve"> found that the correlation was in a strong</w:t>
      </w:r>
      <w:r w:rsidR="00145D57">
        <w:rPr>
          <w:color w:val="000000"/>
          <w:sz w:val="20"/>
        </w:rPr>
        <w:t xml:space="preserve"> correlation when compared to r</w:t>
      </w:r>
      <w:r w:rsidRPr="00145D57">
        <w:rPr>
          <w:color w:val="000000"/>
          <w:sz w:val="20"/>
          <w:vertAlign w:val="subscript"/>
        </w:rPr>
        <w:t>table</w:t>
      </w:r>
      <w:r w:rsidRPr="00ED6EEC">
        <w:rPr>
          <w:color w:val="000000"/>
          <w:sz w:val="20"/>
        </w:rPr>
        <w:t xml:space="preserve"> (0.235) so that it could be concluded that the questionnaire was reliable.</w:t>
      </w:r>
    </w:p>
    <w:p w:rsidR="00176D02" w:rsidRPr="00176D02" w:rsidRDefault="00176D02" w:rsidP="00176D02">
      <w:pPr>
        <w:tabs>
          <w:tab w:val="left" w:pos="567"/>
        </w:tabs>
        <w:autoSpaceDE w:val="0"/>
        <w:autoSpaceDN w:val="0"/>
        <w:adjustRightInd w:val="0"/>
        <w:spacing w:before="0" w:line="240" w:lineRule="auto"/>
        <w:ind w:firstLine="0"/>
        <w:rPr>
          <w:b/>
          <w:sz w:val="20"/>
          <w:lang w:eastAsia="id-ID"/>
        </w:rPr>
      </w:pPr>
      <w:r>
        <w:rPr>
          <w:b/>
          <w:sz w:val="20"/>
          <w:lang w:val="id-ID" w:eastAsia="id-ID"/>
        </w:rPr>
        <w:t>3.2</w:t>
      </w:r>
      <w:r w:rsidRPr="00BB775F">
        <w:rPr>
          <w:b/>
          <w:sz w:val="20"/>
          <w:lang w:val="id-ID" w:eastAsia="id-ID"/>
        </w:rPr>
        <w:tab/>
      </w:r>
      <w:r>
        <w:rPr>
          <w:b/>
          <w:sz w:val="20"/>
          <w:lang w:val="id-ID" w:eastAsia="id-ID"/>
        </w:rPr>
        <w:t>Responden</w:t>
      </w:r>
      <w:r>
        <w:rPr>
          <w:b/>
          <w:sz w:val="20"/>
          <w:lang w:eastAsia="id-ID"/>
        </w:rPr>
        <w:t>t Characteristics</w:t>
      </w:r>
    </w:p>
    <w:p w:rsidR="00176D02" w:rsidRPr="00114DCE" w:rsidRDefault="00176D02" w:rsidP="00176D02">
      <w:pPr>
        <w:autoSpaceDE w:val="0"/>
        <w:autoSpaceDN w:val="0"/>
        <w:adjustRightInd w:val="0"/>
        <w:spacing w:before="0" w:line="240" w:lineRule="auto"/>
        <w:ind w:left="567" w:firstLine="0"/>
        <w:rPr>
          <w:sz w:val="20"/>
          <w:lang w:eastAsia="id-ID"/>
        </w:rPr>
      </w:pPr>
      <w:r>
        <w:rPr>
          <w:noProof/>
          <w:sz w:val="24"/>
          <w:szCs w:val="24"/>
        </w:rPr>
        <w:drawing>
          <wp:inline distT="0" distB="0" distL="0" distR="0">
            <wp:extent cx="4742180" cy="168021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2180" cy="1680210"/>
                    </a:xfrm>
                    <a:prstGeom prst="rect">
                      <a:avLst/>
                    </a:prstGeom>
                    <a:noFill/>
                    <a:ln>
                      <a:noFill/>
                    </a:ln>
                  </pic:spPr>
                </pic:pic>
              </a:graphicData>
            </a:graphic>
          </wp:inline>
        </w:drawing>
      </w:r>
      <w:r w:rsidRPr="00114DCE">
        <w:rPr>
          <w:sz w:val="20"/>
          <w:lang w:eastAsia="id-ID"/>
        </w:rPr>
        <w:t>S</w:t>
      </w:r>
      <w:r w:rsidR="00ED6EEC">
        <w:rPr>
          <w:sz w:val="20"/>
          <w:lang w:eastAsia="id-ID"/>
        </w:rPr>
        <w:t>ource</w:t>
      </w:r>
      <w:r w:rsidRPr="00114DCE">
        <w:rPr>
          <w:sz w:val="20"/>
          <w:lang w:eastAsia="id-ID"/>
        </w:rPr>
        <w:t xml:space="preserve">: </w:t>
      </w:r>
      <w:r w:rsidR="00ED6EEC">
        <w:rPr>
          <w:sz w:val="20"/>
          <w:lang w:eastAsia="id-ID"/>
        </w:rPr>
        <w:t>Analyzed Data,</w:t>
      </w:r>
      <w:r w:rsidRPr="00114DCE">
        <w:rPr>
          <w:sz w:val="20"/>
          <w:lang w:eastAsia="id-ID"/>
        </w:rPr>
        <w:t xml:space="preserve"> 201</w:t>
      </w:r>
      <w:r w:rsidR="00246D48">
        <w:rPr>
          <w:sz w:val="20"/>
          <w:lang w:eastAsia="id-ID"/>
        </w:rPr>
        <w:t>9</w:t>
      </w:r>
      <w:r w:rsidRPr="00114DCE">
        <w:rPr>
          <w:sz w:val="20"/>
          <w:lang w:eastAsia="id-ID"/>
        </w:rPr>
        <w:t>, SPSS 17</w:t>
      </w:r>
    </w:p>
    <w:p w:rsidR="00C71093" w:rsidRDefault="00C71093" w:rsidP="00176D02">
      <w:pPr>
        <w:tabs>
          <w:tab w:val="left" w:pos="567"/>
        </w:tabs>
        <w:autoSpaceDE w:val="0"/>
        <w:autoSpaceDN w:val="0"/>
        <w:adjustRightInd w:val="0"/>
        <w:spacing w:before="0" w:line="240" w:lineRule="auto"/>
        <w:rPr>
          <w:sz w:val="20"/>
          <w:lang w:eastAsia="id-ID"/>
        </w:rPr>
      </w:pPr>
      <w:r w:rsidRPr="00C71093">
        <w:rPr>
          <w:sz w:val="20"/>
          <w:lang w:eastAsia="id-ID"/>
        </w:rPr>
        <w:t>From the diagram above shows that respondents who answered the questionnaire were responden</w:t>
      </w:r>
      <w:r w:rsidR="00CE0AB6">
        <w:rPr>
          <w:sz w:val="20"/>
          <w:lang w:eastAsia="id-ID"/>
        </w:rPr>
        <w:t>ts who were male</w:t>
      </w:r>
      <w:r w:rsidRPr="00C71093">
        <w:rPr>
          <w:sz w:val="20"/>
          <w:lang w:eastAsia="id-ID"/>
        </w:rPr>
        <w:t xml:space="preserve"> as many as 23 respondents or equal to (32.9%) and </w:t>
      </w:r>
      <w:r w:rsidR="00CE0AB6">
        <w:rPr>
          <w:sz w:val="20"/>
          <w:lang w:eastAsia="id-ID"/>
        </w:rPr>
        <w:t xml:space="preserve">female </w:t>
      </w:r>
      <w:r w:rsidRPr="00C71093">
        <w:rPr>
          <w:sz w:val="20"/>
          <w:lang w:eastAsia="id-ID"/>
        </w:rPr>
        <w:t>as many as 47 respondents or equal to (67.1%).</w:t>
      </w:r>
    </w:p>
    <w:p w:rsidR="00176D02" w:rsidRDefault="00176D02" w:rsidP="00176D02">
      <w:pPr>
        <w:tabs>
          <w:tab w:val="left" w:pos="567"/>
        </w:tabs>
        <w:autoSpaceDE w:val="0"/>
        <w:autoSpaceDN w:val="0"/>
        <w:adjustRightInd w:val="0"/>
        <w:spacing w:before="0" w:line="240" w:lineRule="auto"/>
        <w:rPr>
          <w:sz w:val="24"/>
          <w:szCs w:val="24"/>
          <w:lang w:val="id-ID"/>
        </w:rPr>
      </w:pPr>
      <w:r>
        <w:rPr>
          <w:noProof/>
          <w:sz w:val="24"/>
          <w:szCs w:val="24"/>
        </w:rPr>
        <w:drawing>
          <wp:inline distT="0" distB="0" distL="0" distR="0">
            <wp:extent cx="4348480" cy="1414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8480" cy="1414145"/>
                    </a:xfrm>
                    <a:prstGeom prst="rect">
                      <a:avLst/>
                    </a:prstGeom>
                    <a:noFill/>
                    <a:ln>
                      <a:noFill/>
                    </a:ln>
                  </pic:spPr>
                </pic:pic>
              </a:graphicData>
            </a:graphic>
          </wp:inline>
        </w:drawing>
      </w:r>
    </w:p>
    <w:p w:rsidR="00176D02" w:rsidRDefault="00C71093" w:rsidP="00176D02">
      <w:pPr>
        <w:tabs>
          <w:tab w:val="left" w:pos="567"/>
        </w:tabs>
        <w:autoSpaceDE w:val="0"/>
        <w:autoSpaceDN w:val="0"/>
        <w:adjustRightInd w:val="0"/>
        <w:spacing w:before="0" w:line="240" w:lineRule="auto"/>
        <w:rPr>
          <w:sz w:val="20"/>
          <w:lang w:val="id-ID" w:eastAsia="id-ID"/>
        </w:rPr>
      </w:pPr>
      <w:r>
        <w:rPr>
          <w:sz w:val="20"/>
          <w:lang w:eastAsia="id-ID"/>
        </w:rPr>
        <w:t>Source</w:t>
      </w:r>
      <w:r w:rsidR="00176D02" w:rsidRPr="00114DCE">
        <w:rPr>
          <w:sz w:val="20"/>
          <w:lang w:eastAsia="id-ID"/>
        </w:rPr>
        <w:t xml:space="preserve">: </w:t>
      </w:r>
      <w:r>
        <w:rPr>
          <w:sz w:val="20"/>
          <w:lang w:eastAsia="id-ID"/>
        </w:rPr>
        <w:t>Analyzed Data,</w:t>
      </w:r>
      <w:r w:rsidR="00176D02" w:rsidRPr="00114DCE">
        <w:rPr>
          <w:sz w:val="20"/>
          <w:lang w:eastAsia="id-ID"/>
        </w:rPr>
        <w:t xml:space="preserve"> 201</w:t>
      </w:r>
      <w:r w:rsidR="00246D48">
        <w:rPr>
          <w:sz w:val="20"/>
          <w:lang w:eastAsia="id-ID"/>
        </w:rPr>
        <w:t>9</w:t>
      </w:r>
      <w:r w:rsidR="00176D02" w:rsidRPr="00114DCE">
        <w:rPr>
          <w:sz w:val="20"/>
          <w:lang w:eastAsia="id-ID"/>
        </w:rPr>
        <w:t>, SPSS 17</w:t>
      </w:r>
    </w:p>
    <w:p w:rsidR="00C71093" w:rsidRDefault="00C71093" w:rsidP="00176D02">
      <w:pPr>
        <w:tabs>
          <w:tab w:val="left" w:pos="567"/>
        </w:tabs>
        <w:autoSpaceDE w:val="0"/>
        <w:autoSpaceDN w:val="0"/>
        <w:adjustRightInd w:val="0"/>
        <w:spacing w:before="0" w:line="240" w:lineRule="auto"/>
        <w:rPr>
          <w:sz w:val="20"/>
          <w:lang w:eastAsia="id-ID"/>
        </w:rPr>
      </w:pPr>
      <w:r w:rsidRPr="00C71093">
        <w:rPr>
          <w:sz w:val="20"/>
          <w:lang w:eastAsia="id-ID"/>
        </w:rPr>
        <w:t xml:space="preserve">From the data generated in the diagram above shows that </w:t>
      </w:r>
      <w:r w:rsidR="00CE0AB6">
        <w:rPr>
          <w:sz w:val="20"/>
          <w:lang w:eastAsia="id-ID"/>
        </w:rPr>
        <w:t>most</w:t>
      </w:r>
      <w:r w:rsidRPr="00C71093">
        <w:rPr>
          <w:sz w:val="20"/>
          <w:lang w:eastAsia="id-ID"/>
        </w:rPr>
        <w:t xml:space="preserve"> of </w:t>
      </w:r>
      <w:r w:rsidR="00CE0AB6">
        <w:rPr>
          <w:sz w:val="20"/>
          <w:lang w:eastAsia="id-ID"/>
        </w:rPr>
        <w:t xml:space="preserve">the </w:t>
      </w:r>
      <w:r w:rsidRPr="00C71093">
        <w:rPr>
          <w:sz w:val="20"/>
          <w:lang w:eastAsia="id-ID"/>
        </w:rPr>
        <w:t>respondents were 31 respondents (44.3%) aged 31 to 40 years, for ages less than 20 years as many as 19 respondents (27.1%), ages 20 to 30 years as many as 11 respondents (15.7%), ages 41 to 50 years were 9 respondents (12.9%), while there were no respondents (0.0%) for ages over 50 years.</w:t>
      </w:r>
    </w:p>
    <w:p w:rsidR="00176D02" w:rsidRDefault="00176D02" w:rsidP="00176D02">
      <w:pPr>
        <w:tabs>
          <w:tab w:val="left" w:pos="567"/>
        </w:tabs>
        <w:autoSpaceDE w:val="0"/>
        <w:autoSpaceDN w:val="0"/>
        <w:adjustRightInd w:val="0"/>
        <w:spacing w:before="0" w:line="240" w:lineRule="auto"/>
        <w:rPr>
          <w:sz w:val="24"/>
          <w:szCs w:val="24"/>
          <w:lang w:val="id-ID"/>
        </w:rPr>
      </w:pPr>
      <w:r>
        <w:rPr>
          <w:noProof/>
          <w:sz w:val="24"/>
          <w:szCs w:val="24"/>
        </w:rPr>
        <w:drawing>
          <wp:inline distT="0" distB="0" distL="0" distR="0">
            <wp:extent cx="4540250" cy="143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0250" cy="1435100"/>
                    </a:xfrm>
                    <a:prstGeom prst="rect">
                      <a:avLst/>
                    </a:prstGeom>
                    <a:noFill/>
                    <a:ln>
                      <a:noFill/>
                    </a:ln>
                  </pic:spPr>
                </pic:pic>
              </a:graphicData>
            </a:graphic>
          </wp:inline>
        </w:drawing>
      </w:r>
    </w:p>
    <w:p w:rsidR="00176D02" w:rsidRDefault="00C71093" w:rsidP="00176D02">
      <w:pPr>
        <w:tabs>
          <w:tab w:val="left" w:pos="567"/>
        </w:tabs>
        <w:autoSpaceDE w:val="0"/>
        <w:autoSpaceDN w:val="0"/>
        <w:adjustRightInd w:val="0"/>
        <w:spacing w:before="0" w:line="240" w:lineRule="auto"/>
        <w:rPr>
          <w:sz w:val="20"/>
          <w:lang w:val="id-ID" w:eastAsia="id-ID"/>
        </w:rPr>
      </w:pPr>
      <w:r>
        <w:rPr>
          <w:sz w:val="20"/>
          <w:lang w:eastAsia="id-ID"/>
        </w:rPr>
        <w:t>Source</w:t>
      </w:r>
      <w:r w:rsidR="00176D02" w:rsidRPr="00114DCE">
        <w:rPr>
          <w:sz w:val="20"/>
          <w:lang w:eastAsia="id-ID"/>
        </w:rPr>
        <w:t xml:space="preserve">: </w:t>
      </w:r>
      <w:r>
        <w:rPr>
          <w:sz w:val="20"/>
          <w:lang w:eastAsia="id-ID"/>
        </w:rPr>
        <w:t>Analyzed</w:t>
      </w:r>
      <w:r w:rsidR="00176D02" w:rsidRPr="00114DCE">
        <w:rPr>
          <w:sz w:val="20"/>
          <w:lang w:eastAsia="id-ID"/>
        </w:rPr>
        <w:t xml:space="preserve"> Data, 201</w:t>
      </w:r>
      <w:r w:rsidR="00246D48">
        <w:rPr>
          <w:sz w:val="20"/>
          <w:lang w:eastAsia="id-ID"/>
        </w:rPr>
        <w:t>9</w:t>
      </w:r>
      <w:r w:rsidR="00176D02" w:rsidRPr="00114DCE">
        <w:rPr>
          <w:sz w:val="20"/>
          <w:lang w:eastAsia="id-ID"/>
        </w:rPr>
        <w:t>, SPSS 17</w:t>
      </w:r>
    </w:p>
    <w:p w:rsidR="00C71093" w:rsidRDefault="00C71093" w:rsidP="00176D02">
      <w:pPr>
        <w:tabs>
          <w:tab w:val="left" w:pos="426"/>
          <w:tab w:val="left" w:pos="709"/>
        </w:tabs>
        <w:autoSpaceDE w:val="0"/>
        <w:autoSpaceDN w:val="0"/>
        <w:adjustRightInd w:val="0"/>
        <w:spacing w:before="0" w:line="240" w:lineRule="auto"/>
        <w:rPr>
          <w:sz w:val="20"/>
          <w:lang w:eastAsia="id-ID"/>
        </w:rPr>
      </w:pPr>
      <w:r w:rsidRPr="00C71093">
        <w:rPr>
          <w:sz w:val="20"/>
          <w:lang w:eastAsia="id-ID"/>
        </w:rPr>
        <w:t xml:space="preserve">Based on the latest education level as the results of data processing above, </w:t>
      </w:r>
      <w:r w:rsidR="002F0EC3">
        <w:rPr>
          <w:sz w:val="20"/>
          <w:lang w:eastAsia="id-ID"/>
        </w:rPr>
        <w:t>the IT service users/</w:t>
      </w:r>
      <w:r w:rsidRPr="00C71093">
        <w:rPr>
          <w:sz w:val="20"/>
          <w:lang w:eastAsia="id-ID"/>
        </w:rPr>
        <w:t xml:space="preserve">customers in the Gojek application are mostly </w:t>
      </w:r>
      <w:r w:rsidR="001437F3">
        <w:rPr>
          <w:sz w:val="20"/>
          <w:lang w:eastAsia="id-ID"/>
        </w:rPr>
        <w:t>under graduate</w:t>
      </w:r>
      <w:r w:rsidRPr="00C71093">
        <w:rPr>
          <w:sz w:val="20"/>
          <w:lang w:eastAsia="id-ID"/>
        </w:rPr>
        <w:t>, namely 38 respondents (54.3%), the rest are 14 respondents (20.0%) with high sch</w:t>
      </w:r>
      <w:r w:rsidR="002F0EC3">
        <w:rPr>
          <w:sz w:val="20"/>
          <w:lang w:eastAsia="id-ID"/>
        </w:rPr>
        <w:t>ool education, 11 respondents (</w:t>
      </w:r>
      <w:r w:rsidRPr="00C71093">
        <w:rPr>
          <w:sz w:val="20"/>
          <w:lang w:eastAsia="id-ID"/>
        </w:rPr>
        <w:t xml:space="preserve">15.7%) had Diploma education, 4 respondents (5.7%) had junior high school education, 2 respondents (2.9%) had </w:t>
      </w:r>
      <w:r w:rsidR="001437F3">
        <w:rPr>
          <w:sz w:val="20"/>
          <w:lang w:eastAsia="id-ID"/>
        </w:rPr>
        <w:t>graduate/post-graduate</w:t>
      </w:r>
      <w:r w:rsidRPr="00C71093">
        <w:rPr>
          <w:sz w:val="20"/>
          <w:lang w:eastAsia="id-ID"/>
        </w:rPr>
        <w:t xml:space="preserve"> education and 1 respondent (1.4%) had elementary school education.</w:t>
      </w:r>
    </w:p>
    <w:p w:rsidR="00176D02" w:rsidRDefault="00176D02" w:rsidP="00176D02">
      <w:pPr>
        <w:tabs>
          <w:tab w:val="left" w:pos="426"/>
          <w:tab w:val="left" w:pos="709"/>
        </w:tabs>
        <w:autoSpaceDE w:val="0"/>
        <w:autoSpaceDN w:val="0"/>
        <w:adjustRightInd w:val="0"/>
        <w:spacing w:before="0" w:line="240" w:lineRule="auto"/>
        <w:rPr>
          <w:sz w:val="24"/>
          <w:szCs w:val="24"/>
          <w:lang w:val="id-ID"/>
        </w:rPr>
      </w:pPr>
      <w:r>
        <w:rPr>
          <w:noProof/>
          <w:sz w:val="24"/>
          <w:szCs w:val="24"/>
        </w:rPr>
        <w:drawing>
          <wp:inline distT="0" distB="0" distL="0" distR="0">
            <wp:extent cx="4657090" cy="1647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090" cy="1647825"/>
                    </a:xfrm>
                    <a:prstGeom prst="rect">
                      <a:avLst/>
                    </a:prstGeom>
                    <a:noFill/>
                    <a:ln>
                      <a:noFill/>
                    </a:ln>
                  </pic:spPr>
                </pic:pic>
              </a:graphicData>
            </a:graphic>
          </wp:inline>
        </w:drawing>
      </w:r>
    </w:p>
    <w:p w:rsidR="00176D02" w:rsidRDefault="00CE0AB6" w:rsidP="00176D02">
      <w:pPr>
        <w:tabs>
          <w:tab w:val="left" w:pos="567"/>
        </w:tabs>
        <w:autoSpaceDE w:val="0"/>
        <w:autoSpaceDN w:val="0"/>
        <w:adjustRightInd w:val="0"/>
        <w:spacing w:before="0" w:line="240" w:lineRule="auto"/>
        <w:rPr>
          <w:sz w:val="20"/>
          <w:lang w:val="id-ID" w:eastAsia="id-ID"/>
        </w:rPr>
      </w:pPr>
      <w:r>
        <w:rPr>
          <w:sz w:val="20"/>
          <w:lang w:eastAsia="id-ID"/>
        </w:rPr>
        <w:t>Source</w:t>
      </w:r>
      <w:r w:rsidR="00176D02" w:rsidRPr="00114DCE">
        <w:rPr>
          <w:sz w:val="20"/>
          <w:lang w:eastAsia="id-ID"/>
        </w:rPr>
        <w:t xml:space="preserve">: </w:t>
      </w:r>
      <w:r>
        <w:rPr>
          <w:sz w:val="20"/>
          <w:lang w:eastAsia="id-ID"/>
        </w:rPr>
        <w:t>Analyzed</w:t>
      </w:r>
      <w:r w:rsidR="00176D02" w:rsidRPr="00114DCE">
        <w:rPr>
          <w:sz w:val="20"/>
          <w:lang w:eastAsia="id-ID"/>
        </w:rPr>
        <w:t xml:space="preserve"> Data, 201</w:t>
      </w:r>
      <w:r w:rsidR="00246D48">
        <w:rPr>
          <w:sz w:val="20"/>
          <w:lang w:eastAsia="id-ID"/>
        </w:rPr>
        <w:t>9</w:t>
      </w:r>
      <w:r w:rsidR="00176D02" w:rsidRPr="00114DCE">
        <w:rPr>
          <w:sz w:val="20"/>
          <w:lang w:eastAsia="id-ID"/>
        </w:rPr>
        <w:t>, SPSS 17</w:t>
      </w:r>
    </w:p>
    <w:p w:rsidR="00C71093" w:rsidRDefault="00C71093" w:rsidP="00176D02">
      <w:pPr>
        <w:tabs>
          <w:tab w:val="left" w:pos="567"/>
        </w:tabs>
        <w:autoSpaceDE w:val="0"/>
        <w:autoSpaceDN w:val="0"/>
        <w:adjustRightInd w:val="0"/>
        <w:spacing w:before="0" w:line="240" w:lineRule="auto"/>
        <w:rPr>
          <w:sz w:val="20"/>
          <w:lang w:eastAsia="id-ID"/>
        </w:rPr>
      </w:pPr>
      <w:r w:rsidRPr="00C71093">
        <w:rPr>
          <w:sz w:val="20"/>
          <w:lang w:eastAsia="id-ID"/>
        </w:rPr>
        <w:t>From the data generated in the diagram above shows that the users / customers of IT Services in the Gojek application mostly work as entrepreneurs as many as 26 respondents (37.1%), the rest work as private employees nam</w:t>
      </w:r>
      <w:r w:rsidR="00B25D75">
        <w:rPr>
          <w:sz w:val="20"/>
          <w:lang w:eastAsia="id-ID"/>
        </w:rPr>
        <w:t>ely 17 respondents (24.3%), Civil Servant</w:t>
      </w:r>
      <w:r w:rsidR="008A1978">
        <w:rPr>
          <w:sz w:val="20"/>
          <w:lang w:eastAsia="id-ID"/>
        </w:rPr>
        <w:t xml:space="preserve">/State-Owned Enterprises employee </w:t>
      </w:r>
      <w:r w:rsidRPr="00C71093">
        <w:rPr>
          <w:sz w:val="20"/>
          <w:lang w:eastAsia="id-ID"/>
        </w:rPr>
        <w:t>as many</w:t>
      </w:r>
      <w:r w:rsidR="002F0EC3">
        <w:rPr>
          <w:sz w:val="20"/>
          <w:lang w:eastAsia="id-ID"/>
        </w:rPr>
        <w:t xml:space="preserve"> as 5 respondents (7.1%), Indonesian Army</w:t>
      </w:r>
      <w:r w:rsidR="008A1978">
        <w:rPr>
          <w:sz w:val="20"/>
          <w:lang w:eastAsia="id-ID"/>
        </w:rPr>
        <w:t>/</w:t>
      </w:r>
      <w:r w:rsidR="002F0EC3">
        <w:rPr>
          <w:sz w:val="20"/>
          <w:lang w:eastAsia="id-ID"/>
        </w:rPr>
        <w:t>Indonesian Police</w:t>
      </w:r>
      <w:r w:rsidRPr="00C71093">
        <w:rPr>
          <w:sz w:val="20"/>
          <w:lang w:eastAsia="id-ID"/>
        </w:rPr>
        <w:t xml:space="preserve"> as many as 3 respondents (4.3%), and 19 respondents (27.1%) having employment status out</w:t>
      </w:r>
      <w:r>
        <w:rPr>
          <w:sz w:val="20"/>
          <w:lang w:eastAsia="id-ID"/>
        </w:rPr>
        <w:t>side of the written job choices.</w:t>
      </w:r>
    </w:p>
    <w:p w:rsidR="00C71093" w:rsidRDefault="00C71093" w:rsidP="00176D02">
      <w:pPr>
        <w:tabs>
          <w:tab w:val="left" w:pos="567"/>
        </w:tabs>
        <w:autoSpaceDE w:val="0"/>
        <w:autoSpaceDN w:val="0"/>
        <w:adjustRightInd w:val="0"/>
        <w:spacing w:before="0" w:line="240" w:lineRule="auto"/>
        <w:rPr>
          <w:sz w:val="20"/>
          <w:lang w:eastAsia="id-ID"/>
        </w:rPr>
      </w:pPr>
    </w:p>
    <w:p w:rsidR="00176D02" w:rsidRDefault="00176D02" w:rsidP="00176D02">
      <w:pPr>
        <w:tabs>
          <w:tab w:val="left" w:pos="567"/>
        </w:tabs>
        <w:autoSpaceDE w:val="0"/>
        <w:autoSpaceDN w:val="0"/>
        <w:adjustRightInd w:val="0"/>
        <w:spacing w:before="0" w:line="240" w:lineRule="auto"/>
        <w:rPr>
          <w:sz w:val="24"/>
          <w:szCs w:val="24"/>
          <w:lang w:val="id-ID"/>
        </w:rPr>
      </w:pPr>
      <w:r>
        <w:rPr>
          <w:noProof/>
          <w:sz w:val="24"/>
          <w:szCs w:val="24"/>
        </w:rPr>
        <w:drawing>
          <wp:inline distT="0" distB="0" distL="0" distR="0">
            <wp:extent cx="4880610" cy="1286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0610" cy="1286510"/>
                    </a:xfrm>
                    <a:prstGeom prst="rect">
                      <a:avLst/>
                    </a:prstGeom>
                    <a:noFill/>
                    <a:ln>
                      <a:noFill/>
                    </a:ln>
                  </pic:spPr>
                </pic:pic>
              </a:graphicData>
            </a:graphic>
          </wp:inline>
        </w:drawing>
      </w:r>
    </w:p>
    <w:p w:rsidR="00176D02" w:rsidRDefault="00C71093" w:rsidP="00176D02">
      <w:pPr>
        <w:tabs>
          <w:tab w:val="left" w:pos="567"/>
        </w:tabs>
        <w:autoSpaceDE w:val="0"/>
        <w:autoSpaceDN w:val="0"/>
        <w:adjustRightInd w:val="0"/>
        <w:spacing w:before="0" w:line="240" w:lineRule="auto"/>
        <w:rPr>
          <w:sz w:val="20"/>
          <w:lang w:val="id-ID" w:eastAsia="id-ID"/>
        </w:rPr>
      </w:pPr>
      <w:r>
        <w:rPr>
          <w:sz w:val="20"/>
          <w:lang w:eastAsia="id-ID"/>
        </w:rPr>
        <w:t>Source</w:t>
      </w:r>
      <w:r w:rsidR="00176D02" w:rsidRPr="00114DCE">
        <w:rPr>
          <w:sz w:val="20"/>
          <w:lang w:eastAsia="id-ID"/>
        </w:rPr>
        <w:t xml:space="preserve">: </w:t>
      </w:r>
      <w:r>
        <w:rPr>
          <w:sz w:val="20"/>
          <w:lang w:eastAsia="id-ID"/>
        </w:rPr>
        <w:t>Analyzed Data,</w:t>
      </w:r>
      <w:r w:rsidR="00176D02" w:rsidRPr="00114DCE">
        <w:rPr>
          <w:sz w:val="20"/>
          <w:lang w:eastAsia="id-ID"/>
        </w:rPr>
        <w:t xml:space="preserve"> 201</w:t>
      </w:r>
      <w:r w:rsidR="00246D48">
        <w:rPr>
          <w:sz w:val="20"/>
          <w:lang w:eastAsia="id-ID"/>
        </w:rPr>
        <w:t>9</w:t>
      </w:r>
      <w:r w:rsidR="00176D02" w:rsidRPr="00114DCE">
        <w:rPr>
          <w:sz w:val="20"/>
          <w:lang w:eastAsia="id-ID"/>
        </w:rPr>
        <w:t>, SPSS 17</w:t>
      </w:r>
    </w:p>
    <w:p w:rsidR="00C71093" w:rsidRDefault="00C71093" w:rsidP="00176D02">
      <w:pPr>
        <w:tabs>
          <w:tab w:val="left" w:pos="567"/>
        </w:tabs>
        <w:autoSpaceDE w:val="0"/>
        <w:autoSpaceDN w:val="0"/>
        <w:adjustRightInd w:val="0"/>
        <w:spacing w:before="0" w:line="240" w:lineRule="auto"/>
        <w:rPr>
          <w:sz w:val="20"/>
          <w:lang w:eastAsia="id-ID"/>
        </w:rPr>
      </w:pPr>
      <w:r w:rsidRPr="00C71093">
        <w:rPr>
          <w:sz w:val="20"/>
          <w:lang w:eastAsia="id-ID"/>
        </w:rPr>
        <w:t xml:space="preserve">Based on respondents' information sources to get Gojek applications as the results of data </w:t>
      </w:r>
      <w:r w:rsidR="008A1978">
        <w:rPr>
          <w:sz w:val="20"/>
          <w:lang w:eastAsia="id-ID"/>
        </w:rPr>
        <w:t>processing above, it could be seen that users/</w:t>
      </w:r>
      <w:r w:rsidRPr="00C71093">
        <w:rPr>
          <w:sz w:val="20"/>
          <w:lang w:eastAsia="id-ID"/>
        </w:rPr>
        <w:t>customers of IT Services in</w:t>
      </w:r>
      <w:r w:rsidR="008A1978">
        <w:rPr>
          <w:sz w:val="20"/>
          <w:lang w:eastAsia="id-ID"/>
        </w:rPr>
        <w:t xml:space="preserve"> the Gojek application mostly go</w:t>
      </w:r>
      <w:r w:rsidRPr="00C71093">
        <w:rPr>
          <w:sz w:val="20"/>
          <w:lang w:eastAsia="id-ID"/>
        </w:rPr>
        <w:t>t it from information from friends or family of 41 respondents (58.6%), from advertisements (print media)</w:t>
      </w:r>
      <w:r w:rsidR="008A1978">
        <w:rPr>
          <w:sz w:val="20"/>
          <w:lang w:eastAsia="id-ID"/>
        </w:rPr>
        <w:t xml:space="preserve"> as many as 18</w:t>
      </w:r>
      <w:r w:rsidRPr="00C71093">
        <w:rPr>
          <w:sz w:val="20"/>
          <w:lang w:eastAsia="id-ID"/>
        </w:rPr>
        <w:t xml:space="preserve"> respondents (25.7%), as well as from workplaces as many as 11 respondents (15.7%).</w:t>
      </w:r>
    </w:p>
    <w:p w:rsidR="00176D02" w:rsidRDefault="00176D02" w:rsidP="00176D02">
      <w:pPr>
        <w:tabs>
          <w:tab w:val="left" w:pos="567"/>
        </w:tabs>
        <w:autoSpaceDE w:val="0"/>
        <w:autoSpaceDN w:val="0"/>
        <w:adjustRightInd w:val="0"/>
        <w:spacing w:before="0" w:line="240" w:lineRule="auto"/>
        <w:rPr>
          <w:sz w:val="24"/>
          <w:szCs w:val="24"/>
          <w:lang w:val="id-ID"/>
        </w:rPr>
      </w:pPr>
      <w:r>
        <w:rPr>
          <w:noProof/>
          <w:sz w:val="24"/>
          <w:szCs w:val="24"/>
        </w:rPr>
        <w:drawing>
          <wp:inline distT="0" distB="0" distL="0" distR="0">
            <wp:extent cx="4901565" cy="1148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1565" cy="1148080"/>
                    </a:xfrm>
                    <a:prstGeom prst="rect">
                      <a:avLst/>
                    </a:prstGeom>
                    <a:noFill/>
                    <a:ln>
                      <a:noFill/>
                    </a:ln>
                  </pic:spPr>
                </pic:pic>
              </a:graphicData>
            </a:graphic>
          </wp:inline>
        </w:drawing>
      </w:r>
    </w:p>
    <w:p w:rsidR="00176D02" w:rsidRDefault="002C3D22" w:rsidP="00176D02">
      <w:pPr>
        <w:tabs>
          <w:tab w:val="left" w:pos="567"/>
        </w:tabs>
        <w:autoSpaceDE w:val="0"/>
        <w:autoSpaceDN w:val="0"/>
        <w:adjustRightInd w:val="0"/>
        <w:spacing w:before="0" w:line="240" w:lineRule="auto"/>
        <w:rPr>
          <w:sz w:val="20"/>
          <w:lang w:val="id-ID" w:eastAsia="id-ID"/>
        </w:rPr>
      </w:pPr>
      <w:r>
        <w:rPr>
          <w:sz w:val="20"/>
          <w:lang w:eastAsia="id-ID"/>
        </w:rPr>
        <w:t>Source</w:t>
      </w:r>
      <w:r w:rsidR="00176D02" w:rsidRPr="00114DCE">
        <w:rPr>
          <w:sz w:val="20"/>
          <w:lang w:eastAsia="id-ID"/>
        </w:rPr>
        <w:t xml:space="preserve">: </w:t>
      </w:r>
      <w:r>
        <w:rPr>
          <w:sz w:val="20"/>
          <w:lang w:eastAsia="id-ID"/>
        </w:rPr>
        <w:t xml:space="preserve">Analyzed Data, </w:t>
      </w:r>
      <w:r w:rsidR="00176D02" w:rsidRPr="00114DCE">
        <w:rPr>
          <w:sz w:val="20"/>
          <w:lang w:eastAsia="id-ID"/>
        </w:rPr>
        <w:t>201</w:t>
      </w:r>
      <w:r w:rsidR="00246D48">
        <w:rPr>
          <w:sz w:val="20"/>
          <w:lang w:eastAsia="id-ID"/>
        </w:rPr>
        <w:t>9</w:t>
      </w:r>
      <w:r w:rsidR="00176D02" w:rsidRPr="00114DCE">
        <w:rPr>
          <w:sz w:val="20"/>
          <w:lang w:eastAsia="id-ID"/>
        </w:rPr>
        <w:t>, SPSS 17</w:t>
      </w:r>
    </w:p>
    <w:p w:rsidR="00176D02" w:rsidRDefault="002C3D22" w:rsidP="00176D02">
      <w:pPr>
        <w:tabs>
          <w:tab w:val="left" w:pos="567"/>
        </w:tabs>
        <w:autoSpaceDE w:val="0"/>
        <w:autoSpaceDN w:val="0"/>
        <w:adjustRightInd w:val="0"/>
        <w:spacing w:before="0" w:line="240" w:lineRule="auto"/>
        <w:rPr>
          <w:sz w:val="24"/>
          <w:szCs w:val="24"/>
          <w:lang w:val="id-ID"/>
        </w:rPr>
      </w:pPr>
      <w:r w:rsidRPr="002C3D22">
        <w:rPr>
          <w:sz w:val="20"/>
          <w:lang w:eastAsia="id-ID"/>
        </w:rPr>
        <w:t xml:space="preserve">From </w:t>
      </w:r>
      <w:r w:rsidR="008A1978">
        <w:rPr>
          <w:sz w:val="20"/>
          <w:lang w:eastAsia="id-ID"/>
        </w:rPr>
        <w:t>the data above shows that users/</w:t>
      </w:r>
      <w:r w:rsidRPr="002C3D22">
        <w:rPr>
          <w:sz w:val="20"/>
          <w:lang w:eastAsia="id-ID"/>
        </w:rPr>
        <w:t>customers of IT services</w:t>
      </w:r>
      <w:r w:rsidR="008A1978">
        <w:rPr>
          <w:sz w:val="20"/>
          <w:lang w:eastAsia="id-ID"/>
        </w:rPr>
        <w:t xml:space="preserve"> in this application</w:t>
      </w:r>
      <w:r w:rsidRPr="002C3D22">
        <w:rPr>
          <w:sz w:val="20"/>
          <w:lang w:eastAsia="id-ID"/>
        </w:rPr>
        <w:t xml:space="preserve"> have used Gojek IT services applications as much as 6 to 10 times, namely 41 respondents (58.6%), 0 to 5 times</w:t>
      </w:r>
      <w:r w:rsidR="002F0EC3">
        <w:rPr>
          <w:sz w:val="20"/>
          <w:lang w:eastAsia="id-ID"/>
        </w:rPr>
        <w:t xml:space="preserve"> by 27 respondents (</w:t>
      </w:r>
      <w:r w:rsidRPr="002C3D22">
        <w:rPr>
          <w:sz w:val="20"/>
          <w:lang w:eastAsia="id-ID"/>
        </w:rPr>
        <w:t>38.6%), and those who have used the Gojek application more than 10 times as many as 2 respondents (2.9%).</w:t>
      </w:r>
      <w:r w:rsidR="00176D02">
        <w:rPr>
          <w:noProof/>
          <w:sz w:val="24"/>
          <w:szCs w:val="24"/>
        </w:rPr>
        <w:drawing>
          <wp:inline distT="0" distB="0" distL="0" distR="0">
            <wp:extent cx="4965700" cy="12331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5700" cy="1233170"/>
                    </a:xfrm>
                    <a:prstGeom prst="rect">
                      <a:avLst/>
                    </a:prstGeom>
                    <a:noFill/>
                    <a:ln>
                      <a:noFill/>
                    </a:ln>
                  </pic:spPr>
                </pic:pic>
              </a:graphicData>
            </a:graphic>
          </wp:inline>
        </w:drawing>
      </w:r>
    </w:p>
    <w:p w:rsidR="00176D02" w:rsidRDefault="002C3D22" w:rsidP="00176D02">
      <w:pPr>
        <w:tabs>
          <w:tab w:val="left" w:pos="567"/>
        </w:tabs>
        <w:autoSpaceDE w:val="0"/>
        <w:autoSpaceDN w:val="0"/>
        <w:adjustRightInd w:val="0"/>
        <w:spacing w:before="0" w:line="240" w:lineRule="auto"/>
        <w:rPr>
          <w:sz w:val="20"/>
          <w:lang w:val="id-ID" w:eastAsia="id-ID"/>
        </w:rPr>
      </w:pPr>
      <w:r>
        <w:rPr>
          <w:sz w:val="20"/>
          <w:lang w:eastAsia="id-ID"/>
        </w:rPr>
        <w:t>Source</w:t>
      </w:r>
      <w:r w:rsidR="00176D02" w:rsidRPr="00114DCE">
        <w:rPr>
          <w:sz w:val="20"/>
          <w:lang w:eastAsia="id-ID"/>
        </w:rPr>
        <w:t xml:space="preserve">: </w:t>
      </w:r>
      <w:r>
        <w:rPr>
          <w:sz w:val="20"/>
          <w:lang w:eastAsia="id-ID"/>
        </w:rPr>
        <w:t xml:space="preserve">Analyzed Data, </w:t>
      </w:r>
      <w:r w:rsidR="00176D02" w:rsidRPr="00114DCE">
        <w:rPr>
          <w:sz w:val="20"/>
          <w:lang w:eastAsia="id-ID"/>
        </w:rPr>
        <w:t>201</w:t>
      </w:r>
      <w:r w:rsidR="00246D48">
        <w:rPr>
          <w:sz w:val="20"/>
          <w:lang w:eastAsia="id-ID"/>
        </w:rPr>
        <w:t>9</w:t>
      </w:r>
      <w:r w:rsidR="00176D02" w:rsidRPr="00114DCE">
        <w:rPr>
          <w:sz w:val="20"/>
          <w:lang w:eastAsia="id-ID"/>
        </w:rPr>
        <w:t>, SPSS 17</w:t>
      </w:r>
    </w:p>
    <w:p w:rsidR="00286907" w:rsidRDefault="002C3D22" w:rsidP="00176D02">
      <w:pPr>
        <w:tabs>
          <w:tab w:val="left" w:pos="567"/>
        </w:tabs>
        <w:autoSpaceDE w:val="0"/>
        <w:autoSpaceDN w:val="0"/>
        <w:adjustRightInd w:val="0"/>
        <w:spacing w:before="0" w:line="240" w:lineRule="auto"/>
        <w:ind w:firstLine="0"/>
        <w:rPr>
          <w:sz w:val="20"/>
          <w:lang w:eastAsia="id-ID"/>
        </w:rPr>
      </w:pPr>
      <w:r w:rsidRPr="002C3D22">
        <w:rPr>
          <w:sz w:val="20"/>
          <w:lang w:eastAsia="id-ID"/>
        </w:rPr>
        <w:t xml:space="preserve">From </w:t>
      </w:r>
      <w:r w:rsidR="00286907">
        <w:rPr>
          <w:sz w:val="20"/>
          <w:lang w:eastAsia="id-ID"/>
        </w:rPr>
        <w:t xml:space="preserve">the data above shows that most of </w:t>
      </w:r>
      <w:r w:rsidR="002F0EC3">
        <w:rPr>
          <w:sz w:val="20"/>
          <w:lang w:eastAsia="id-ID"/>
        </w:rPr>
        <w:t xml:space="preserve">the </w:t>
      </w:r>
      <w:r w:rsidR="00286907">
        <w:rPr>
          <w:sz w:val="20"/>
          <w:lang w:eastAsia="id-ID"/>
        </w:rPr>
        <w:t>users/</w:t>
      </w:r>
      <w:r w:rsidRPr="002C3D22">
        <w:rPr>
          <w:sz w:val="20"/>
          <w:lang w:eastAsia="id-ID"/>
        </w:rPr>
        <w:t xml:space="preserve">customers of </w:t>
      </w:r>
      <w:r w:rsidR="00286907">
        <w:rPr>
          <w:sz w:val="20"/>
          <w:lang w:eastAsia="id-ID"/>
        </w:rPr>
        <w:t>Gojek</w:t>
      </w:r>
      <w:r w:rsidRPr="002C3D22">
        <w:rPr>
          <w:sz w:val="20"/>
          <w:lang w:eastAsia="id-ID"/>
        </w:rPr>
        <w:t xml:space="preserve"> have used </w:t>
      </w:r>
      <w:r w:rsidR="00286907">
        <w:rPr>
          <w:sz w:val="20"/>
          <w:lang w:eastAsia="id-ID"/>
        </w:rPr>
        <w:t>Go-ride</w:t>
      </w:r>
      <w:r w:rsidRPr="002C3D22">
        <w:rPr>
          <w:sz w:val="20"/>
          <w:lang w:eastAsia="id-ID"/>
        </w:rPr>
        <w:t xml:space="preserve"> services applications as m</w:t>
      </w:r>
      <w:r w:rsidR="00286907">
        <w:rPr>
          <w:sz w:val="20"/>
          <w:lang w:eastAsia="id-ID"/>
        </w:rPr>
        <w:t>any</w:t>
      </w:r>
      <w:r w:rsidRPr="002C3D22">
        <w:rPr>
          <w:sz w:val="20"/>
          <w:lang w:eastAsia="id-ID"/>
        </w:rPr>
        <w:t xml:space="preserve"> as </w:t>
      </w:r>
      <w:r w:rsidR="00286907">
        <w:rPr>
          <w:sz w:val="20"/>
          <w:lang w:eastAsia="id-ID"/>
        </w:rPr>
        <w:t>34 respondents (48.6%), Go-food as many as 29 respondents (41.4%), and the rest</w:t>
      </w:r>
      <w:r w:rsidR="002F0EC3">
        <w:rPr>
          <w:sz w:val="20"/>
          <w:lang w:eastAsia="id-ID"/>
        </w:rPr>
        <w:t>s</w:t>
      </w:r>
      <w:r w:rsidR="00286907">
        <w:rPr>
          <w:sz w:val="20"/>
          <w:lang w:eastAsia="id-ID"/>
        </w:rPr>
        <w:t xml:space="preserve"> were respondents who did not use other IT services which were unwritten on the questionnaire. </w:t>
      </w:r>
    </w:p>
    <w:p w:rsidR="00176D02" w:rsidRDefault="00176D02" w:rsidP="00176D02">
      <w:pPr>
        <w:tabs>
          <w:tab w:val="left" w:pos="567"/>
        </w:tabs>
        <w:autoSpaceDE w:val="0"/>
        <w:autoSpaceDN w:val="0"/>
        <w:adjustRightInd w:val="0"/>
        <w:spacing w:before="0" w:line="240" w:lineRule="auto"/>
        <w:ind w:firstLine="0"/>
        <w:rPr>
          <w:b/>
          <w:sz w:val="20"/>
          <w:lang w:val="id-ID" w:eastAsia="id-ID"/>
        </w:rPr>
      </w:pPr>
      <w:r>
        <w:rPr>
          <w:b/>
          <w:sz w:val="20"/>
          <w:lang w:val="id-ID" w:eastAsia="id-ID"/>
        </w:rPr>
        <w:t>3.3</w:t>
      </w:r>
      <w:r w:rsidRPr="00BB775F">
        <w:rPr>
          <w:b/>
          <w:sz w:val="20"/>
          <w:lang w:val="id-ID" w:eastAsia="id-ID"/>
        </w:rPr>
        <w:tab/>
      </w:r>
      <w:r w:rsidR="00286907">
        <w:rPr>
          <w:b/>
          <w:sz w:val="20"/>
          <w:lang w:eastAsia="id-ID"/>
        </w:rPr>
        <w:t>Frequency</w:t>
      </w:r>
      <w:r>
        <w:rPr>
          <w:b/>
          <w:sz w:val="20"/>
          <w:lang w:val="id-ID" w:eastAsia="id-ID"/>
        </w:rPr>
        <w:t xml:space="preserve"> Var</w:t>
      </w:r>
      <w:r w:rsidR="00947E8A">
        <w:rPr>
          <w:b/>
          <w:sz w:val="20"/>
          <w:lang w:val="id-ID" w:eastAsia="id-ID"/>
        </w:rPr>
        <w:t>iab</w:t>
      </w:r>
      <w:r>
        <w:rPr>
          <w:b/>
          <w:sz w:val="20"/>
          <w:lang w:val="id-ID" w:eastAsia="id-ID"/>
        </w:rPr>
        <w:t>l</w:t>
      </w:r>
      <w:r w:rsidR="00947E8A">
        <w:rPr>
          <w:b/>
          <w:sz w:val="20"/>
          <w:lang w:eastAsia="id-ID"/>
        </w:rPr>
        <w:t>e</w:t>
      </w:r>
    </w:p>
    <w:tbl>
      <w:tblPr>
        <w:tblW w:w="8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877"/>
        <w:gridCol w:w="1059"/>
        <w:gridCol w:w="1059"/>
        <w:gridCol w:w="1059"/>
        <w:gridCol w:w="1060"/>
        <w:gridCol w:w="556"/>
      </w:tblGrid>
      <w:tr w:rsidR="00176D02" w:rsidRPr="003A5AA6" w:rsidTr="002C3D22">
        <w:tc>
          <w:tcPr>
            <w:tcW w:w="567" w:type="dxa"/>
            <w:vMerge w:val="restart"/>
          </w:tcPr>
          <w:p w:rsidR="00176D02" w:rsidRPr="003A5AA6" w:rsidRDefault="00176D02" w:rsidP="002D740D">
            <w:pPr>
              <w:tabs>
                <w:tab w:val="left" w:pos="567"/>
              </w:tabs>
              <w:autoSpaceDE w:val="0"/>
              <w:autoSpaceDN w:val="0"/>
              <w:adjustRightInd w:val="0"/>
              <w:spacing w:before="0" w:line="240" w:lineRule="auto"/>
              <w:ind w:firstLine="0"/>
              <w:jc w:val="center"/>
              <w:rPr>
                <w:b/>
                <w:sz w:val="20"/>
                <w:lang w:val="id-ID" w:eastAsia="id-ID"/>
              </w:rPr>
            </w:pPr>
          </w:p>
          <w:p w:rsidR="00176D02" w:rsidRPr="003A5AA6" w:rsidRDefault="00176D02" w:rsidP="002D740D">
            <w:pPr>
              <w:tabs>
                <w:tab w:val="left" w:pos="567"/>
              </w:tabs>
              <w:autoSpaceDE w:val="0"/>
              <w:autoSpaceDN w:val="0"/>
              <w:adjustRightInd w:val="0"/>
              <w:spacing w:before="0" w:line="240" w:lineRule="auto"/>
              <w:ind w:firstLine="0"/>
              <w:jc w:val="center"/>
              <w:rPr>
                <w:b/>
                <w:sz w:val="20"/>
                <w:lang w:val="id-ID" w:eastAsia="id-ID"/>
              </w:rPr>
            </w:pPr>
            <w:r w:rsidRPr="003A5AA6">
              <w:rPr>
                <w:b/>
                <w:sz w:val="20"/>
                <w:lang w:val="id-ID" w:eastAsia="id-ID"/>
              </w:rPr>
              <w:t>No</w:t>
            </w:r>
          </w:p>
        </w:tc>
        <w:tc>
          <w:tcPr>
            <w:tcW w:w="1985" w:type="dxa"/>
            <w:vMerge w:val="restart"/>
          </w:tcPr>
          <w:p w:rsidR="00176D02" w:rsidRPr="003A5AA6" w:rsidRDefault="00176D02" w:rsidP="002D740D">
            <w:pPr>
              <w:tabs>
                <w:tab w:val="left" w:pos="567"/>
              </w:tabs>
              <w:autoSpaceDE w:val="0"/>
              <w:autoSpaceDN w:val="0"/>
              <w:adjustRightInd w:val="0"/>
              <w:spacing w:before="0" w:line="240" w:lineRule="auto"/>
              <w:ind w:firstLine="0"/>
              <w:jc w:val="center"/>
              <w:rPr>
                <w:b/>
                <w:sz w:val="20"/>
                <w:lang w:val="id-ID" w:eastAsia="id-ID"/>
              </w:rPr>
            </w:pPr>
          </w:p>
          <w:p w:rsidR="00176D02" w:rsidRPr="002C3D22" w:rsidRDefault="002C3D22" w:rsidP="002D740D">
            <w:pPr>
              <w:tabs>
                <w:tab w:val="left" w:pos="567"/>
              </w:tabs>
              <w:autoSpaceDE w:val="0"/>
              <w:autoSpaceDN w:val="0"/>
              <w:adjustRightInd w:val="0"/>
              <w:spacing w:before="0" w:line="240" w:lineRule="auto"/>
              <w:ind w:firstLine="0"/>
              <w:jc w:val="center"/>
              <w:rPr>
                <w:b/>
                <w:sz w:val="20"/>
                <w:lang w:eastAsia="id-ID"/>
              </w:rPr>
            </w:pPr>
            <w:r>
              <w:rPr>
                <w:b/>
                <w:sz w:val="20"/>
                <w:lang w:val="id-ID" w:eastAsia="id-ID"/>
              </w:rPr>
              <w:t>Variab</w:t>
            </w:r>
            <w:r w:rsidR="00176D02" w:rsidRPr="003A5AA6">
              <w:rPr>
                <w:b/>
                <w:sz w:val="20"/>
                <w:lang w:val="id-ID" w:eastAsia="id-ID"/>
              </w:rPr>
              <w:t>l</w:t>
            </w:r>
            <w:r>
              <w:rPr>
                <w:b/>
                <w:sz w:val="20"/>
                <w:lang w:eastAsia="id-ID"/>
              </w:rPr>
              <w:t>e</w:t>
            </w:r>
            <w:r w:rsidR="00176D02" w:rsidRPr="003A5AA6">
              <w:rPr>
                <w:b/>
                <w:sz w:val="20"/>
                <w:lang w:val="id-ID" w:eastAsia="id-ID"/>
              </w:rPr>
              <w:t>/Dimensi</w:t>
            </w:r>
            <w:r>
              <w:rPr>
                <w:b/>
                <w:sz w:val="20"/>
                <w:lang w:eastAsia="id-ID"/>
              </w:rPr>
              <w:t>on</w:t>
            </w:r>
          </w:p>
        </w:tc>
        <w:tc>
          <w:tcPr>
            <w:tcW w:w="5114" w:type="dxa"/>
            <w:gridSpan w:val="5"/>
          </w:tcPr>
          <w:p w:rsidR="00176D02" w:rsidRPr="003A5AA6" w:rsidRDefault="002C3D22" w:rsidP="002D740D">
            <w:pPr>
              <w:tabs>
                <w:tab w:val="left" w:pos="567"/>
              </w:tabs>
              <w:autoSpaceDE w:val="0"/>
              <w:autoSpaceDN w:val="0"/>
              <w:adjustRightInd w:val="0"/>
              <w:spacing w:before="0" w:line="240" w:lineRule="auto"/>
              <w:ind w:firstLine="0"/>
              <w:jc w:val="center"/>
              <w:rPr>
                <w:b/>
                <w:sz w:val="20"/>
                <w:lang w:val="id-ID" w:eastAsia="id-ID"/>
              </w:rPr>
            </w:pPr>
            <w:r>
              <w:rPr>
                <w:b/>
                <w:sz w:val="20"/>
                <w:lang w:eastAsia="id-ID"/>
              </w:rPr>
              <w:t>Level of Satisfaction</w:t>
            </w:r>
            <w:r w:rsidR="00176D02" w:rsidRPr="003A5AA6">
              <w:rPr>
                <w:b/>
                <w:sz w:val="20"/>
                <w:lang w:val="id-ID" w:eastAsia="id-ID"/>
              </w:rPr>
              <w:t xml:space="preserve"> (%)</w:t>
            </w:r>
          </w:p>
        </w:tc>
        <w:tc>
          <w:tcPr>
            <w:tcW w:w="556" w:type="dxa"/>
            <w:vMerge w:val="restart"/>
          </w:tcPr>
          <w:p w:rsidR="00176D02" w:rsidRPr="003A5AA6" w:rsidRDefault="00176D02" w:rsidP="002D740D">
            <w:pPr>
              <w:tabs>
                <w:tab w:val="left" w:pos="567"/>
              </w:tabs>
              <w:autoSpaceDE w:val="0"/>
              <w:autoSpaceDN w:val="0"/>
              <w:adjustRightInd w:val="0"/>
              <w:spacing w:before="0" w:line="240" w:lineRule="auto"/>
              <w:ind w:firstLine="0"/>
              <w:jc w:val="center"/>
              <w:rPr>
                <w:b/>
                <w:sz w:val="20"/>
                <w:lang w:val="id-ID" w:eastAsia="id-ID"/>
              </w:rPr>
            </w:pPr>
          </w:p>
          <w:p w:rsidR="00176D02" w:rsidRPr="002C3D22" w:rsidRDefault="002C3D22" w:rsidP="002D740D">
            <w:pPr>
              <w:tabs>
                <w:tab w:val="left" w:pos="567"/>
              </w:tabs>
              <w:autoSpaceDE w:val="0"/>
              <w:autoSpaceDN w:val="0"/>
              <w:adjustRightInd w:val="0"/>
              <w:spacing w:before="0" w:line="240" w:lineRule="auto"/>
              <w:ind w:firstLine="0"/>
              <w:jc w:val="center"/>
              <w:rPr>
                <w:b/>
                <w:sz w:val="20"/>
                <w:lang w:eastAsia="id-ID"/>
              </w:rPr>
            </w:pPr>
            <w:r>
              <w:rPr>
                <w:b/>
                <w:sz w:val="20"/>
                <w:lang w:eastAsia="id-ID"/>
              </w:rPr>
              <w:t>Des</w:t>
            </w:r>
          </w:p>
        </w:tc>
      </w:tr>
      <w:tr w:rsidR="00176D02" w:rsidRPr="003A5AA6" w:rsidTr="002C3D22">
        <w:tc>
          <w:tcPr>
            <w:tcW w:w="567" w:type="dxa"/>
            <w:vMerge/>
          </w:tcPr>
          <w:p w:rsidR="00176D02" w:rsidRPr="003A5AA6" w:rsidRDefault="00176D02" w:rsidP="002D740D">
            <w:pPr>
              <w:tabs>
                <w:tab w:val="left" w:pos="567"/>
              </w:tabs>
              <w:autoSpaceDE w:val="0"/>
              <w:autoSpaceDN w:val="0"/>
              <w:adjustRightInd w:val="0"/>
              <w:spacing w:before="0" w:line="240" w:lineRule="auto"/>
              <w:ind w:firstLine="0"/>
              <w:rPr>
                <w:b/>
                <w:sz w:val="20"/>
                <w:lang w:val="id-ID" w:eastAsia="id-ID"/>
              </w:rPr>
            </w:pPr>
          </w:p>
        </w:tc>
        <w:tc>
          <w:tcPr>
            <w:tcW w:w="1985" w:type="dxa"/>
            <w:vMerge/>
          </w:tcPr>
          <w:p w:rsidR="00176D02" w:rsidRPr="003A5AA6" w:rsidRDefault="00176D02" w:rsidP="002D740D">
            <w:pPr>
              <w:tabs>
                <w:tab w:val="left" w:pos="567"/>
              </w:tabs>
              <w:autoSpaceDE w:val="0"/>
              <w:autoSpaceDN w:val="0"/>
              <w:adjustRightInd w:val="0"/>
              <w:spacing w:before="0" w:line="240" w:lineRule="auto"/>
              <w:ind w:firstLine="0"/>
              <w:rPr>
                <w:b/>
                <w:sz w:val="20"/>
                <w:lang w:val="id-ID" w:eastAsia="id-ID"/>
              </w:rPr>
            </w:pPr>
          </w:p>
        </w:tc>
        <w:tc>
          <w:tcPr>
            <w:tcW w:w="877" w:type="dxa"/>
          </w:tcPr>
          <w:p w:rsidR="00176D02" w:rsidRPr="003A5AA6" w:rsidRDefault="002C3D22" w:rsidP="002D740D">
            <w:pPr>
              <w:spacing w:line="240" w:lineRule="auto"/>
              <w:ind w:firstLine="0"/>
              <w:jc w:val="center"/>
              <w:rPr>
                <w:b/>
                <w:color w:val="000000"/>
                <w:sz w:val="20"/>
                <w:lang w:val="id-ID"/>
              </w:rPr>
            </w:pPr>
            <w:r>
              <w:rPr>
                <w:b/>
                <w:color w:val="000000"/>
                <w:sz w:val="20"/>
              </w:rPr>
              <w:t>VS</w:t>
            </w:r>
          </w:p>
        </w:tc>
        <w:tc>
          <w:tcPr>
            <w:tcW w:w="1059" w:type="dxa"/>
          </w:tcPr>
          <w:p w:rsidR="00176D02" w:rsidRPr="003A5AA6" w:rsidRDefault="002C3D22" w:rsidP="002D740D">
            <w:pPr>
              <w:spacing w:line="240" w:lineRule="auto"/>
              <w:ind w:firstLine="0"/>
              <w:jc w:val="center"/>
              <w:rPr>
                <w:b/>
                <w:color w:val="000000"/>
                <w:sz w:val="20"/>
              </w:rPr>
            </w:pPr>
            <w:r>
              <w:rPr>
                <w:b/>
                <w:color w:val="000000"/>
                <w:sz w:val="20"/>
              </w:rPr>
              <w:t>S</w:t>
            </w:r>
          </w:p>
        </w:tc>
        <w:tc>
          <w:tcPr>
            <w:tcW w:w="1059" w:type="dxa"/>
          </w:tcPr>
          <w:p w:rsidR="00176D02" w:rsidRPr="003A5AA6" w:rsidRDefault="002C3D22" w:rsidP="002D740D">
            <w:pPr>
              <w:spacing w:line="240" w:lineRule="auto"/>
              <w:ind w:firstLine="0"/>
              <w:jc w:val="center"/>
              <w:rPr>
                <w:b/>
                <w:color w:val="000000"/>
                <w:sz w:val="20"/>
              </w:rPr>
            </w:pPr>
            <w:r>
              <w:rPr>
                <w:b/>
                <w:color w:val="000000"/>
                <w:sz w:val="20"/>
              </w:rPr>
              <w:t>LS</w:t>
            </w:r>
          </w:p>
        </w:tc>
        <w:tc>
          <w:tcPr>
            <w:tcW w:w="1059" w:type="dxa"/>
          </w:tcPr>
          <w:p w:rsidR="00176D02" w:rsidRPr="003A5AA6" w:rsidRDefault="002C3D22" w:rsidP="002D740D">
            <w:pPr>
              <w:spacing w:line="240" w:lineRule="auto"/>
              <w:ind w:firstLine="0"/>
              <w:jc w:val="center"/>
              <w:rPr>
                <w:b/>
                <w:color w:val="000000"/>
                <w:sz w:val="20"/>
              </w:rPr>
            </w:pPr>
            <w:r>
              <w:rPr>
                <w:b/>
                <w:color w:val="000000"/>
                <w:sz w:val="20"/>
              </w:rPr>
              <w:t>NS</w:t>
            </w:r>
          </w:p>
        </w:tc>
        <w:tc>
          <w:tcPr>
            <w:tcW w:w="1060" w:type="dxa"/>
          </w:tcPr>
          <w:p w:rsidR="00176D02" w:rsidRPr="003A5AA6" w:rsidRDefault="002C3D22" w:rsidP="002D740D">
            <w:pPr>
              <w:spacing w:line="240" w:lineRule="auto"/>
              <w:ind w:firstLine="0"/>
              <w:jc w:val="center"/>
              <w:rPr>
                <w:b/>
                <w:color w:val="000000"/>
                <w:sz w:val="20"/>
              </w:rPr>
            </w:pPr>
            <w:r>
              <w:rPr>
                <w:b/>
                <w:color w:val="000000"/>
                <w:sz w:val="20"/>
              </w:rPr>
              <w:t>VD</w:t>
            </w:r>
          </w:p>
        </w:tc>
        <w:tc>
          <w:tcPr>
            <w:tcW w:w="556" w:type="dxa"/>
            <w:vMerge/>
          </w:tcPr>
          <w:p w:rsidR="00176D02" w:rsidRPr="003A5AA6" w:rsidRDefault="00176D02" w:rsidP="002D740D">
            <w:pPr>
              <w:tabs>
                <w:tab w:val="left" w:pos="567"/>
              </w:tabs>
              <w:autoSpaceDE w:val="0"/>
              <w:autoSpaceDN w:val="0"/>
              <w:adjustRightInd w:val="0"/>
              <w:spacing w:before="0" w:line="240" w:lineRule="auto"/>
              <w:ind w:firstLine="0"/>
              <w:rPr>
                <w:b/>
                <w:sz w:val="20"/>
                <w:lang w:val="id-ID" w:eastAsia="id-ID"/>
              </w:rPr>
            </w:pPr>
          </w:p>
        </w:tc>
      </w:tr>
      <w:tr w:rsidR="00176D02" w:rsidRPr="003A5AA6" w:rsidTr="002C3D22">
        <w:tc>
          <w:tcPr>
            <w:tcW w:w="56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1.</w:t>
            </w:r>
          </w:p>
        </w:tc>
        <w:tc>
          <w:tcPr>
            <w:tcW w:w="1985" w:type="dxa"/>
          </w:tcPr>
          <w:p w:rsidR="00176D02" w:rsidRPr="003A5AA6" w:rsidRDefault="00176D02" w:rsidP="002D740D">
            <w:pPr>
              <w:tabs>
                <w:tab w:val="left" w:pos="567"/>
              </w:tabs>
              <w:autoSpaceDE w:val="0"/>
              <w:autoSpaceDN w:val="0"/>
              <w:adjustRightInd w:val="0"/>
              <w:spacing w:before="0" w:line="240" w:lineRule="auto"/>
              <w:ind w:firstLine="0"/>
              <w:rPr>
                <w:sz w:val="20"/>
                <w:lang w:val="id-ID" w:eastAsia="id-ID"/>
              </w:rPr>
            </w:pPr>
            <w:r w:rsidRPr="003A5AA6">
              <w:rPr>
                <w:sz w:val="20"/>
                <w:lang w:val="id-ID" w:eastAsia="id-ID"/>
              </w:rPr>
              <w:t>Tangible</w:t>
            </w:r>
          </w:p>
        </w:tc>
        <w:tc>
          <w:tcPr>
            <w:tcW w:w="87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14,2%</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22,9%</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50,0%</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10,0%</w:t>
            </w:r>
          </w:p>
        </w:tc>
        <w:tc>
          <w:tcPr>
            <w:tcW w:w="1060"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2,9%</w:t>
            </w:r>
          </w:p>
        </w:tc>
        <w:tc>
          <w:tcPr>
            <w:tcW w:w="556" w:type="dxa"/>
          </w:tcPr>
          <w:p w:rsidR="00176D02" w:rsidRPr="003A5AA6" w:rsidRDefault="00176D02" w:rsidP="002D740D">
            <w:pPr>
              <w:tabs>
                <w:tab w:val="left" w:pos="567"/>
              </w:tabs>
              <w:autoSpaceDE w:val="0"/>
              <w:autoSpaceDN w:val="0"/>
              <w:adjustRightInd w:val="0"/>
              <w:spacing w:before="0" w:line="240" w:lineRule="auto"/>
              <w:ind w:firstLine="0"/>
              <w:rPr>
                <w:b/>
                <w:sz w:val="20"/>
                <w:lang w:val="id-ID" w:eastAsia="id-ID"/>
              </w:rPr>
            </w:pPr>
          </w:p>
        </w:tc>
      </w:tr>
      <w:tr w:rsidR="00176D02" w:rsidRPr="003A5AA6" w:rsidTr="002C3D22">
        <w:tc>
          <w:tcPr>
            <w:tcW w:w="56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2.</w:t>
            </w:r>
          </w:p>
        </w:tc>
        <w:tc>
          <w:tcPr>
            <w:tcW w:w="1985" w:type="dxa"/>
          </w:tcPr>
          <w:p w:rsidR="00176D02" w:rsidRPr="003A5AA6" w:rsidRDefault="00176D02" w:rsidP="002D740D">
            <w:pPr>
              <w:tabs>
                <w:tab w:val="left" w:pos="567"/>
              </w:tabs>
              <w:autoSpaceDE w:val="0"/>
              <w:autoSpaceDN w:val="0"/>
              <w:adjustRightInd w:val="0"/>
              <w:spacing w:before="0" w:line="240" w:lineRule="auto"/>
              <w:ind w:firstLine="0"/>
              <w:rPr>
                <w:sz w:val="20"/>
                <w:lang w:val="id-ID" w:eastAsia="id-ID"/>
              </w:rPr>
            </w:pPr>
            <w:r w:rsidRPr="003A5AA6">
              <w:rPr>
                <w:sz w:val="20"/>
                <w:lang w:val="id-ID" w:eastAsia="id-ID"/>
              </w:rPr>
              <w:t>Emphaty</w:t>
            </w:r>
          </w:p>
        </w:tc>
        <w:tc>
          <w:tcPr>
            <w:tcW w:w="87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11,4%</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25,7%</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52,9%</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5,7%</w:t>
            </w:r>
          </w:p>
        </w:tc>
        <w:tc>
          <w:tcPr>
            <w:tcW w:w="1060"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4,3%</w:t>
            </w:r>
          </w:p>
        </w:tc>
        <w:tc>
          <w:tcPr>
            <w:tcW w:w="556" w:type="dxa"/>
          </w:tcPr>
          <w:p w:rsidR="00176D02" w:rsidRPr="003A5AA6" w:rsidRDefault="00176D02" w:rsidP="002D740D">
            <w:pPr>
              <w:tabs>
                <w:tab w:val="left" w:pos="567"/>
              </w:tabs>
              <w:autoSpaceDE w:val="0"/>
              <w:autoSpaceDN w:val="0"/>
              <w:adjustRightInd w:val="0"/>
              <w:spacing w:before="0" w:line="240" w:lineRule="auto"/>
              <w:ind w:firstLine="0"/>
              <w:rPr>
                <w:b/>
                <w:sz w:val="20"/>
                <w:lang w:val="id-ID" w:eastAsia="id-ID"/>
              </w:rPr>
            </w:pPr>
          </w:p>
        </w:tc>
      </w:tr>
      <w:tr w:rsidR="00176D02" w:rsidRPr="003A5AA6" w:rsidTr="002C3D22">
        <w:tc>
          <w:tcPr>
            <w:tcW w:w="56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3.</w:t>
            </w:r>
          </w:p>
        </w:tc>
        <w:tc>
          <w:tcPr>
            <w:tcW w:w="1985" w:type="dxa"/>
          </w:tcPr>
          <w:p w:rsidR="00176D02" w:rsidRPr="003A5AA6" w:rsidRDefault="00176D02" w:rsidP="002D740D">
            <w:pPr>
              <w:tabs>
                <w:tab w:val="left" w:pos="567"/>
              </w:tabs>
              <w:autoSpaceDE w:val="0"/>
              <w:autoSpaceDN w:val="0"/>
              <w:adjustRightInd w:val="0"/>
              <w:spacing w:before="0" w:line="240" w:lineRule="auto"/>
              <w:ind w:firstLine="0"/>
              <w:rPr>
                <w:sz w:val="20"/>
                <w:lang w:val="id-ID" w:eastAsia="id-ID"/>
              </w:rPr>
            </w:pPr>
            <w:r w:rsidRPr="003A5AA6">
              <w:rPr>
                <w:sz w:val="20"/>
                <w:lang w:val="id-ID" w:eastAsia="id-ID"/>
              </w:rPr>
              <w:t>Responsiveness</w:t>
            </w:r>
          </w:p>
        </w:tc>
        <w:tc>
          <w:tcPr>
            <w:tcW w:w="87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12,9%</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17,1%</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61,4%</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5,7%</w:t>
            </w:r>
          </w:p>
        </w:tc>
        <w:tc>
          <w:tcPr>
            <w:tcW w:w="1060"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2,9%</w:t>
            </w:r>
          </w:p>
        </w:tc>
        <w:tc>
          <w:tcPr>
            <w:tcW w:w="556" w:type="dxa"/>
          </w:tcPr>
          <w:p w:rsidR="00176D02" w:rsidRPr="003A5AA6" w:rsidRDefault="00176D02" w:rsidP="002D740D">
            <w:pPr>
              <w:tabs>
                <w:tab w:val="left" w:pos="567"/>
              </w:tabs>
              <w:autoSpaceDE w:val="0"/>
              <w:autoSpaceDN w:val="0"/>
              <w:adjustRightInd w:val="0"/>
              <w:spacing w:before="0" w:line="240" w:lineRule="auto"/>
              <w:ind w:firstLine="0"/>
              <w:rPr>
                <w:b/>
                <w:sz w:val="20"/>
                <w:lang w:val="id-ID" w:eastAsia="id-ID"/>
              </w:rPr>
            </w:pPr>
          </w:p>
        </w:tc>
      </w:tr>
      <w:tr w:rsidR="00176D02" w:rsidRPr="003A5AA6" w:rsidTr="002C3D22">
        <w:tc>
          <w:tcPr>
            <w:tcW w:w="56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4.</w:t>
            </w:r>
          </w:p>
        </w:tc>
        <w:tc>
          <w:tcPr>
            <w:tcW w:w="1985" w:type="dxa"/>
          </w:tcPr>
          <w:p w:rsidR="00176D02" w:rsidRPr="003A5AA6" w:rsidRDefault="00176D02" w:rsidP="002D740D">
            <w:pPr>
              <w:tabs>
                <w:tab w:val="left" w:pos="567"/>
              </w:tabs>
              <w:autoSpaceDE w:val="0"/>
              <w:autoSpaceDN w:val="0"/>
              <w:adjustRightInd w:val="0"/>
              <w:spacing w:before="0" w:line="240" w:lineRule="auto"/>
              <w:ind w:firstLine="0"/>
              <w:rPr>
                <w:sz w:val="20"/>
                <w:lang w:val="id-ID" w:eastAsia="id-ID"/>
              </w:rPr>
            </w:pPr>
            <w:r w:rsidRPr="003A5AA6">
              <w:rPr>
                <w:sz w:val="20"/>
                <w:lang w:val="id-ID" w:eastAsia="id-ID"/>
              </w:rPr>
              <w:t>Reliability</w:t>
            </w:r>
          </w:p>
        </w:tc>
        <w:tc>
          <w:tcPr>
            <w:tcW w:w="87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11,4%</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25,7%</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55,7%</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4,3%</w:t>
            </w:r>
          </w:p>
        </w:tc>
        <w:tc>
          <w:tcPr>
            <w:tcW w:w="1060"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2,9%</w:t>
            </w:r>
          </w:p>
        </w:tc>
        <w:tc>
          <w:tcPr>
            <w:tcW w:w="556" w:type="dxa"/>
          </w:tcPr>
          <w:p w:rsidR="00176D02" w:rsidRPr="003A5AA6" w:rsidRDefault="00176D02" w:rsidP="002D740D">
            <w:pPr>
              <w:tabs>
                <w:tab w:val="left" w:pos="567"/>
              </w:tabs>
              <w:autoSpaceDE w:val="0"/>
              <w:autoSpaceDN w:val="0"/>
              <w:adjustRightInd w:val="0"/>
              <w:spacing w:before="0" w:line="240" w:lineRule="auto"/>
              <w:ind w:firstLine="0"/>
              <w:rPr>
                <w:b/>
                <w:sz w:val="20"/>
                <w:lang w:val="id-ID" w:eastAsia="id-ID"/>
              </w:rPr>
            </w:pPr>
          </w:p>
        </w:tc>
      </w:tr>
      <w:tr w:rsidR="00176D02" w:rsidRPr="003A5AA6" w:rsidTr="002C3D22">
        <w:tc>
          <w:tcPr>
            <w:tcW w:w="56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5.</w:t>
            </w:r>
          </w:p>
        </w:tc>
        <w:tc>
          <w:tcPr>
            <w:tcW w:w="1985" w:type="dxa"/>
          </w:tcPr>
          <w:p w:rsidR="00176D02" w:rsidRPr="003A5AA6" w:rsidRDefault="00176D02" w:rsidP="002D740D">
            <w:pPr>
              <w:tabs>
                <w:tab w:val="left" w:pos="567"/>
              </w:tabs>
              <w:autoSpaceDE w:val="0"/>
              <w:autoSpaceDN w:val="0"/>
              <w:adjustRightInd w:val="0"/>
              <w:spacing w:before="0" w:line="240" w:lineRule="auto"/>
              <w:ind w:firstLine="0"/>
              <w:rPr>
                <w:sz w:val="20"/>
                <w:lang w:val="id-ID" w:eastAsia="id-ID"/>
              </w:rPr>
            </w:pPr>
            <w:r w:rsidRPr="003A5AA6">
              <w:rPr>
                <w:sz w:val="20"/>
                <w:lang w:val="id-ID" w:eastAsia="id-ID"/>
              </w:rPr>
              <w:t>Assurance</w:t>
            </w:r>
          </w:p>
        </w:tc>
        <w:tc>
          <w:tcPr>
            <w:tcW w:w="877"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12,9%</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24,3%</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52,9%</w:t>
            </w:r>
          </w:p>
        </w:tc>
        <w:tc>
          <w:tcPr>
            <w:tcW w:w="1059"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7,1%</w:t>
            </w:r>
          </w:p>
        </w:tc>
        <w:tc>
          <w:tcPr>
            <w:tcW w:w="1060" w:type="dxa"/>
          </w:tcPr>
          <w:p w:rsidR="00176D02" w:rsidRPr="003A5AA6" w:rsidRDefault="00176D02" w:rsidP="002D740D">
            <w:pPr>
              <w:tabs>
                <w:tab w:val="left" w:pos="567"/>
              </w:tabs>
              <w:autoSpaceDE w:val="0"/>
              <w:autoSpaceDN w:val="0"/>
              <w:adjustRightInd w:val="0"/>
              <w:spacing w:before="0" w:line="240" w:lineRule="auto"/>
              <w:ind w:firstLine="0"/>
              <w:jc w:val="center"/>
              <w:rPr>
                <w:sz w:val="20"/>
                <w:lang w:val="id-ID" w:eastAsia="id-ID"/>
              </w:rPr>
            </w:pPr>
            <w:r w:rsidRPr="003A5AA6">
              <w:rPr>
                <w:sz w:val="20"/>
                <w:lang w:val="id-ID" w:eastAsia="id-ID"/>
              </w:rPr>
              <w:t>2,8%</w:t>
            </w:r>
          </w:p>
        </w:tc>
        <w:tc>
          <w:tcPr>
            <w:tcW w:w="556" w:type="dxa"/>
          </w:tcPr>
          <w:p w:rsidR="00176D02" w:rsidRPr="003A5AA6" w:rsidRDefault="00176D02" w:rsidP="002D740D">
            <w:pPr>
              <w:tabs>
                <w:tab w:val="left" w:pos="567"/>
              </w:tabs>
              <w:autoSpaceDE w:val="0"/>
              <w:autoSpaceDN w:val="0"/>
              <w:adjustRightInd w:val="0"/>
              <w:spacing w:before="0" w:line="240" w:lineRule="auto"/>
              <w:ind w:firstLine="0"/>
              <w:rPr>
                <w:b/>
                <w:sz w:val="20"/>
                <w:lang w:val="id-ID" w:eastAsia="id-ID"/>
              </w:rPr>
            </w:pPr>
          </w:p>
        </w:tc>
      </w:tr>
    </w:tbl>
    <w:p w:rsidR="00176D02" w:rsidRDefault="002C3D22" w:rsidP="00176D02">
      <w:pPr>
        <w:tabs>
          <w:tab w:val="left" w:pos="567"/>
        </w:tabs>
        <w:autoSpaceDE w:val="0"/>
        <w:autoSpaceDN w:val="0"/>
        <w:adjustRightInd w:val="0"/>
        <w:spacing w:before="0" w:line="240" w:lineRule="auto"/>
        <w:rPr>
          <w:sz w:val="20"/>
          <w:lang w:val="id-ID" w:eastAsia="id-ID"/>
        </w:rPr>
      </w:pPr>
      <w:r>
        <w:rPr>
          <w:sz w:val="20"/>
          <w:lang w:eastAsia="id-ID"/>
        </w:rPr>
        <w:t>Source</w:t>
      </w:r>
      <w:r w:rsidR="00176D02" w:rsidRPr="00114DCE">
        <w:rPr>
          <w:sz w:val="20"/>
          <w:lang w:eastAsia="id-ID"/>
        </w:rPr>
        <w:t xml:space="preserve">: </w:t>
      </w:r>
      <w:r>
        <w:rPr>
          <w:sz w:val="20"/>
          <w:lang w:eastAsia="id-ID"/>
        </w:rPr>
        <w:t xml:space="preserve">Analyzed Data, </w:t>
      </w:r>
      <w:r w:rsidR="00176D02" w:rsidRPr="00114DCE">
        <w:rPr>
          <w:sz w:val="20"/>
          <w:lang w:eastAsia="id-ID"/>
        </w:rPr>
        <w:t>201</w:t>
      </w:r>
      <w:r w:rsidR="00246D48">
        <w:rPr>
          <w:sz w:val="20"/>
          <w:lang w:eastAsia="id-ID"/>
        </w:rPr>
        <w:t>9</w:t>
      </w:r>
      <w:bookmarkStart w:id="0" w:name="_GoBack"/>
      <w:bookmarkEnd w:id="0"/>
      <w:r w:rsidR="00176D02" w:rsidRPr="00114DCE">
        <w:rPr>
          <w:sz w:val="20"/>
          <w:lang w:eastAsia="id-ID"/>
        </w:rPr>
        <w:t>, SPSS 17</w:t>
      </w:r>
    </w:p>
    <w:p w:rsidR="00176D02" w:rsidRDefault="00176D02" w:rsidP="00176D02">
      <w:pPr>
        <w:tabs>
          <w:tab w:val="left" w:pos="567"/>
        </w:tabs>
        <w:autoSpaceDE w:val="0"/>
        <w:autoSpaceDN w:val="0"/>
        <w:adjustRightInd w:val="0"/>
        <w:spacing w:before="0" w:line="240" w:lineRule="auto"/>
        <w:ind w:firstLine="0"/>
        <w:rPr>
          <w:b/>
          <w:sz w:val="20"/>
          <w:lang w:val="id-ID" w:eastAsia="id-ID"/>
        </w:rPr>
      </w:pPr>
    </w:p>
    <w:p w:rsidR="00176D02" w:rsidRPr="002C3D22" w:rsidRDefault="002C3D22" w:rsidP="00176D02">
      <w:pPr>
        <w:tabs>
          <w:tab w:val="left" w:pos="567"/>
        </w:tabs>
        <w:autoSpaceDE w:val="0"/>
        <w:autoSpaceDN w:val="0"/>
        <w:adjustRightInd w:val="0"/>
        <w:spacing w:before="0" w:line="240" w:lineRule="auto"/>
        <w:ind w:firstLine="0"/>
        <w:rPr>
          <w:b/>
          <w:sz w:val="20"/>
          <w:lang w:eastAsia="id-ID"/>
        </w:rPr>
      </w:pPr>
      <w:r>
        <w:rPr>
          <w:b/>
          <w:sz w:val="20"/>
          <w:lang w:val="id-ID" w:eastAsia="id-ID"/>
        </w:rPr>
        <w:t>1).</w:t>
      </w:r>
      <w:r>
        <w:rPr>
          <w:b/>
          <w:sz w:val="20"/>
          <w:lang w:val="id-ID" w:eastAsia="id-ID"/>
        </w:rPr>
        <w:tab/>
      </w:r>
      <w:r w:rsidR="00176D02" w:rsidRPr="00947E8A">
        <w:rPr>
          <w:b/>
          <w:sz w:val="20"/>
          <w:lang w:val="id-ID" w:eastAsia="id-ID"/>
        </w:rPr>
        <w:t>Tangible</w:t>
      </w:r>
      <w:r>
        <w:rPr>
          <w:b/>
          <w:sz w:val="20"/>
          <w:lang w:eastAsia="id-ID"/>
        </w:rPr>
        <w:t>Variable</w:t>
      </w:r>
    </w:p>
    <w:p w:rsidR="00176D02" w:rsidRDefault="00176D02" w:rsidP="00176D02">
      <w:pPr>
        <w:tabs>
          <w:tab w:val="left" w:pos="567"/>
          <w:tab w:val="left" w:pos="709"/>
        </w:tabs>
        <w:autoSpaceDE w:val="0"/>
        <w:autoSpaceDN w:val="0"/>
        <w:adjustRightInd w:val="0"/>
        <w:spacing w:before="0" w:line="240" w:lineRule="auto"/>
        <w:ind w:firstLine="0"/>
        <w:rPr>
          <w:color w:val="000000"/>
          <w:sz w:val="20"/>
        </w:rPr>
      </w:pPr>
      <w:r>
        <w:rPr>
          <w:sz w:val="20"/>
          <w:lang w:val="id-ID" w:eastAsia="id-ID"/>
        </w:rPr>
        <w:tab/>
      </w:r>
      <w:r w:rsidR="002C3D22" w:rsidRPr="002C3D22">
        <w:rPr>
          <w:color w:val="000000"/>
          <w:sz w:val="20"/>
        </w:rPr>
        <w:t>From the results of each i</w:t>
      </w:r>
      <w:r w:rsidR="002F0EC3">
        <w:rPr>
          <w:color w:val="000000"/>
          <w:sz w:val="20"/>
        </w:rPr>
        <w:t>tem as many as 7 statements</w:t>
      </w:r>
      <w:r w:rsidR="002C3D22" w:rsidRPr="002C3D22">
        <w:rPr>
          <w:color w:val="000000"/>
          <w:sz w:val="20"/>
        </w:rPr>
        <w:t xml:space="preserve"> tested on tangible variables, </w:t>
      </w:r>
      <w:r w:rsidR="002779AB">
        <w:rPr>
          <w:color w:val="000000"/>
          <w:sz w:val="20"/>
        </w:rPr>
        <w:t>i</w:t>
      </w:r>
      <w:r w:rsidR="002C3D22" w:rsidRPr="002C3D22">
        <w:rPr>
          <w:color w:val="000000"/>
          <w:sz w:val="20"/>
        </w:rPr>
        <w:t>n the first statement</w:t>
      </w:r>
      <w:r w:rsidR="00286907">
        <w:rPr>
          <w:color w:val="000000"/>
          <w:sz w:val="20"/>
        </w:rPr>
        <w:t>, dominantly as many as</w:t>
      </w:r>
      <w:r w:rsidR="002C3D22" w:rsidRPr="002C3D22">
        <w:rPr>
          <w:color w:val="000000"/>
          <w:sz w:val="20"/>
        </w:rPr>
        <w:t xml:space="preserve"> 35 respondents (50.0%) stated that they were not satisfied, </w:t>
      </w:r>
      <w:r w:rsidR="002779AB">
        <w:rPr>
          <w:color w:val="000000"/>
          <w:sz w:val="20"/>
        </w:rPr>
        <w:t>i</w:t>
      </w:r>
      <w:r w:rsidR="00904636">
        <w:rPr>
          <w:color w:val="000000"/>
          <w:sz w:val="20"/>
        </w:rPr>
        <w:t xml:space="preserve">n </w:t>
      </w:r>
      <w:r w:rsidR="002C3D22" w:rsidRPr="002C3D22">
        <w:rPr>
          <w:color w:val="000000"/>
          <w:sz w:val="20"/>
        </w:rPr>
        <w:t xml:space="preserve">the second statement as many as 35 respondents (50.0%) stated that they were not satisfied, </w:t>
      </w:r>
      <w:r w:rsidR="002779AB">
        <w:rPr>
          <w:color w:val="000000"/>
          <w:sz w:val="20"/>
        </w:rPr>
        <w:t>i</w:t>
      </w:r>
      <w:r w:rsidR="00904636">
        <w:rPr>
          <w:color w:val="000000"/>
          <w:sz w:val="20"/>
        </w:rPr>
        <w:t xml:space="preserve">n </w:t>
      </w:r>
      <w:r w:rsidR="002C3D22" w:rsidRPr="002C3D22">
        <w:rPr>
          <w:color w:val="000000"/>
          <w:sz w:val="20"/>
        </w:rPr>
        <w:t>the thi</w:t>
      </w:r>
      <w:r w:rsidR="00904636">
        <w:rPr>
          <w:color w:val="000000"/>
          <w:sz w:val="20"/>
        </w:rPr>
        <w:t>rd statement 39 respondents (55,</w:t>
      </w:r>
      <w:r w:rsidR="002C3D22" w:rsidRPr="002C3D22">
        <w:rPr>
          <w:color w:val="000000"/>
          <w:sz w:val="20"/>
        </w:rPr>
        <w:t xml:space="preserve">7%) again expressed dissatisfaction, </w:t>
      </w:r>
      <w:r w:rsidR="002779AB">
        <w:rPr>
          <w:color w:val="000000"/>
          <w:sz w:val="20"/>
        </w:rPr>
        <w:t>i</w:t>
      </w:r>
      <w:r w:rsidR="00904636">
        <w:rPr>
          <w:color w:val="000000"/>
          <w:sz w:val="20"/>
        </w:rPr>
        <w:t xml:space="preserve">n </w:t>
      </w:r>
      <w:r w:rsidR="002C3D22" w:rsidRPr="002C3D22">
        <w:rPr>
          <w:color w:val="000000"/>
          <w:sz w:val="20"/>
        </w:rPr>
        <w:t>the fourth statement 36 respondents (51.4%) stated they were not satis</w:t>
      </w:r>
      <w:r w:rsidR="002779AB">
        <w:rPr>
          <w:color w:val="000000"/>
          <w:sz w:val="20"/>
        </w:rPr>
        <w:t>fied, i</w:t>
      </w:r>
      <w:r w:rsidR="002C3D22" w:rsidRPr="002C3D22">
        <w:rPr>
          <w:color w:val="000000"/>
          <w:sz w:val="20"/>
        </w:rPr>
        <w:t>n the fifth statement 37 respondents (52.9%) stated they were not satisfied,</w:t>
      </w:r>
      <w:r w:rsidR="002779AB">
        <w:rPr>
          <w:color w:val="000000"/>
          <w:sz w:val="20"/>
        </w:rPr>
        <w:t xml:space="preserve"> i</w:t>
      </w:r>
      <w:r w:rsidR="00904636">
        <w:rPr>
          <w:color w:val="000000"/>
          <w:sz w:val="20"/>
        </w:rPr>
        <w:t>n</w:t>
      </w:r>
      <w:r w:rsidR="002C3D22" w:rsidRPr="002C3D22">
        <w:rPr>
          <w:color w:val="000000"/>
          <w:sz w:val="20"/>
        </w:rPr>
        <w:t xml:space="preserve"> the sixth statement 43 respondents (61.</w:t>
      </w:r>
      <w:r w:rsidR="002779AB">
        <w:rPr>
          <w:color w:val="000000"/>
          <w:sz w:val="20"/>
        </w:rPr>
        <w:t>4%) stated less satisfied, and i</w:t>
      </w:r>
      <w:r w:rsidR="002C3D22" w:rsidRPr="002C3D22">
        <w:rPr>
          <w:color w:val="000000"/>
          <w:sz w:val="20"/>
        </w:rPr>
        <w:t>n the seventh statement as many as 43 respondents (61.4%) respondents again stated they were not sati</w:t>
      </w:r>
      <w:r w:rsidR="00904636">
        <w:rPr>
          <w:color w:val="000000"/>
          <w:sz w:val="20"/>
        </w:rPr>
        <w:t xml:space="preserve">sfied. Then from the analyzed data, it showed that the </w:t>
      </w:r>
      <w:r w:rsidR="00904636" w:rsidRPr="002C3D22">
        <w:rPr>
          <w:color w:val="000000"/>
          <w:sz w:val="20"/>
        </w:rPr>
        <w:t>respondents felt dissatisfied</w:t>
      </w:r>
      <w:r w:rsidR="00904636">
        <w:rPr>
          <w:color w:val="000000"/>
          <w:sz w:val="20"/>
        </w:rPr>
        <w:t xml:space="preserve"> on the physical/</w:t>
      </w:r>
      <w:r w:rsidR="002C3D22" w:rsidRPr="002C3D22">
        <w:rPr>
          <w:color w:val="000000"/>
          <w:sz w:val="20"/>
        </w:rPr>
        <w:t>tangible proof of IT services</w:t>
      </w:r>
      <w:r w:rsidR="00904636">
        <w:rPr>
          <w:color w:val="000000"/>
          <w:sz w:val="20"/>
        </w:rPr>
        <w:t xml:space="preserve"> of</w:t>
      </w:r>
      <w:r w:rsidR="002C3D22" w:rsidRPr="002C3D22">
        <w:rPr>
          <w:color w:val="000000"/>
          <w:sz w:val="20"/>
        </w:rPr>
        <w:t>Gojek application.</w:t>
      </w:r>
    </w:p>
    <w:p w:rsidR="002C3D22" w:rsidRDefault="002C3D22" w:rsidP="00176D02">
      <w:pPr>
        <w:tabs>
          <w:tab w:val="left" w:pos="567"/>
          <w:tab w:val="left" w:pos="709"/>
        </w:tabs>
        <w:autoSpaceDE w:val="0"/>
        <w:autoSpaceDN w:val="0"/>
        <w:adjustRightInd w:val="0"/>
        <w:spacing w:before="0" w:line="240" w:lineRule="auto"/>
        <w:ind w:firstLine="0"/>
        <w:rPr>
          <w:color w:val="000000"/>
          <w:sz w:val="20"/>
        </w:rPr>
      </w:pPr>
    </w:p>
    <w:p w:rsidR="002C3D22" w:rsidRPr="0088412E" w:rsidRDefault="002C3D22" w:rsidP="00176D02">
      <w:pPr>
        <w:tabs>
          <w:tab w:val="left" w:pos="567"/>
          <w:tab w:val="left" w:pos="709"/>
        </w:tabs>
        <w:autoSpaceDE w:val="0"/>
        <w:autoSpaceDN w:val="0"/>
        <w:adjustRightInd w:val="0"/>
        <w:spacing w:before="0" w:line="240" w:lineRule="auto"/>
        <w:ind w:firstLine="0"/>
        <w:rPr>
          <w:color w:val="000000"/>
          <w:sz w:val="20"/>
        </w:rPr>
      </w:pPr>
    </w:p>
    <w:p w:rsidR="00176D02" w:rsidRPr="002C3D22" w:rsidRDefault="00176D02" w:rsidP="00176D02">
      <w:pPr>
        <w:tabs>
          <w:tab w:val="left" w:pos="567"/>
        </w:tabs>
        <w:autoSpaceDE w:val="0"/>
        <w:autoSpaceDN w:val="0"/>
        <w:adjustRightInd w:val="0"/>
        <w:spacing w:before="0" w:line="240" w:lineRule="auto"/>
        <w:ind w:firstLine="0"/>
        <w:rPr>
          <w:b/>
          <w:sz w:val="20"/>
          <w:lang w:eastAsia="id-ID"/>
        </w:rPr>
      </w:pPr>
      <w:r>
        <w:rPr>
          <w:b/>
          <w:sz w:val="20"/>
          <w:lang w:val="id-ID" w:eastAsia="id-ID"/>
        </w:rPr>
        <w:t>2).</w:t>
      </w:r>
      <w:r>
        <w:rPr>
          <w:b/>
          <w:sz w:val="20"/>
          <w:lang w:val="id-ID" w:eastAsia="id-ID"/>
        </w:rPr>
        <w:tab/>
      </w:r>
      <w:r w:rsidR="00947E8A" w:rsidRPr="00947E8A">
        <w:rPr>
          <w:b/>
          <w:sz w:val="20"/>
          <w:lang w:eastAsia="id-ID"/>
        </w:rPr>
        <w:t xml:space="preserve">Empathy </w:t>
      </w:r>
      <w:r w:rsidR="002C3D22">
        <w:rPr>
          <w:b/>
          <w:sz w:val="20"/>
          <w:lang w:eastAsia="id-ID"/>
        </w:rPr>
        <w:t>Variable</w:t>
      </w:r>
    </w:p>
    <w:p w:rsidR="00176D02" w:rsidRPr="0088412E" w:rsidRDefault="00176D02" w:rsidP="00176D02">
      <w:pPr>
        <w:tabs>
          <w:tab w:val="left" w:pos="0"/>
          <w:tab w:val="left" w:pos="567"/>
        </w:tabs>
        <w:autoSpaceDE w:val="0"/>
        <w:autoSpaceDN w:val="0"/>
        <w:adjustRightInd w:val="0"/>
        <w:spacing w:before="0" w:line="240" w:lineRule="auto"/>
        <w:ind w:firstLine="0"/>
        <w:rPr>
          <w:color w:val="000000"/>
          <w:sz w:val="20"/>
        </w:rPr>
      </w:pPr>
      <w:r>
        <w:rPr>
          <w:color w:val="000000"/>
          <w:sz w:val="20"/>
          <w:lang w:val="id-ID"/>
        </w:rPr>
        <w:tab/>
      </w:r>
      <w:r w:rsidR="00947E8A" w:rsidRPr="00947E8A">
        <w:rPr>
          <w:color w:val="000000"/>
          <w:sz w:val="20"/>
        </w:rPr>
        <w:t>Based on the results of each it</w:t>
      </w:r>
      <w:r w:rsidR="002F0EC3">
        <w:rPr>
          <w:color w:val="000000"/>
          <w:sz w:val="20"/>
        </w:rPr>
        <w:t>em as many as 10 statements</w:t>
      </w:r>
      <w:r w:rsidR="00947E8A" w:rsidRPr="00947E8A">
        <w:rPr>
          <w:color w:val="000000"/>
          <w:sz w:val="20"/>
        </w:rPr>
        <w:t xml:space="preserve"> tested on the empathic variable, in the first statement</w:t>
      </w:r>
      <w:r w:rsidR="002779AB">
        <w:rPr>
          <w:color w:val="000000"/>
          <w:sz w:val="20"/>
        </w:rPr>
        <w:t>, dominantly</w:t>
      </w:r>
      <w:r w:rsidR="00947E8A" w:rsidRPr="00947E8A">
        <w:rPr>
          <w:color w:val="000000"/>
          <w:sz w:val="20"/>
        </w:rPr>
        <w:t xml:space="preserve"> 37 respondents (52.9%) stated that they were not satisfied, </w:t>
      </w:r>
      <w:r w:rsidR="00B8588E">
        <w:rPr>
          <w:color w:val="000000"/>
          <w:sz w:val="20"/>
        </w:rPr>
        <w:t xml:space="preserve">in </w:t>
      </w:r>
      <w:r w:rsidR="00947E8A" w:rsidRPr="00947E8A">
        <w:rPr>
          <w:color w:val="000000"/>
          <w:sz w:val="20"/>
        </w:rPr>
        <w:t xml:space="preserve">the second statement as many as 42 respondents (60.0%) stated that they were not satisfied, </w:t>
      </w:r>
      <w:r w:rsidR="00B8588E">
        <w:rPr>
          <w:color w:val="000000"/>
          <w:sz w:val="20"/>
        </w:rPr>
        <w:t xml:space="preserve">in </w:t>
      </w:r>
      <w:r w:rsidR="00947E8A" w:rsidRPr="00947E8A">
        <w:rPr>
          <w:color w:val="000000"/>
          <w:sz w:val="20"/>
        </w:rPr>
        <w:t>the thir</w:t>
      </w:r>
      <w:r w:rsidR="00B8588E">
        <w:rPr>
          <w:color w:val="000000"/>
          <w:sz w:val="20"/>
        </w:rPr>
        <w:t>d statement 40 respondents (57.</w:t>
      </w:r>
      <w:r w:rsidR="00947E8A" w:rsidRPr="00947E8A">
        <w:rPr>
          <w:color w:val="000000"/>
          <w:sz w:val="20"/>
        </w:rPr>
        <w:t xml:space="preserve">1%) again expressed dissatisfaction, </w:t>
      </w:r>
      <w:r w:rsidR="00B8588E">
        <w:rPr>
          <w:color w:val="000000"/>
          <w:sz w:val="20"/>
        </w:rPr>
        <w:t xml:space="preserve">in </w:t>
      </w:r>
      <w:r w:rsidR="00947E8A" w:rsidRPr="00947E8A">
        <w:rPr>
          <w:color w:val="000000"/>
          <w:sz w:val="20"/>
        </w:rPr>
        <w:t xml:space="preserve">the fourth statement 40 more respondents (57.1%) stated that they were not satisfied, on the fifth statement 38 respondents (54.3%) stated they were not satisfied, the sixth statement 43 respondents (61.4%) stated dissatisfied, </w:t>
      </w:r>
      <w:r w:rsidR="00B8588E">
        <w:rPr>
          <w:color w:val="000000"/>
          <w:sz w:val="20"/>
        </w:rPr>
        <w:t xml:space="preserve">in </w:t>
      </w:r>
      <w:r w:rsidR="00947E8A" w:rsidRPr="00947E8A">
        <w:rPr>
          <w:color w:val="000000"/>
          <w:sz w:val="20"/>
        </w:rPr>
        <w:t xml:space="preserve">the seventh statement as many as 46 respondents (65.7%) stated that they were dissatisfied, </w:t>
      </w:r>
      <w:r w:rsidR="00B8588E">
        <w:rPr>
          <w:color w:val="000000"/>
          <w:sz w:val="20"/>
        </w:rPr>
        <w:t xml:space="preserve">in </w:t>
      </w:r>
      <w:r w:rsidR="00947E8A" w:rsidRPr="00947E8A">
        <w:rPr>
          <w:color w:val="000000"/>
          <w:sz w:val="20"/>
        </w:rPr>
        <w:t>the eighth statement 41 respondents (58.6%) stated</w:t>
      </w:r>
      <w:r w:rsidR="00B8588E">
        <w:rPr>
          <w:color w:val="000000"/>
          <w:sz w:val="20"/>
        </w:rPr>
        <w:t xml:space="preserve"> that</w:t>
      </w:r>
      <w:r w:rsidR="00947E8A" w:rsidRPr="00947E8A">
        <w:rPr>
          <w:color w:val="000000"/>
          <w:sz w:val="20"/>
        </w:rPr>
        <w:t xml:space="preserve"> they were not satisfied, </w:t>
      </w:r>
      <w:r w:rsidR="00987A58">
        <w:rPr>
          <w:color w:val="000000"/>
          <w:sz w:val="20"/>
        </w:rPr>
        <w:t xml:space="preserve">in </w:t>
      </w:r>
      <w:r w:rsidR="00947E8A" w:rsidRPr="00947E8A">
        <w:rPr>
          <w:color w:val="000000"/>
          <w:sz w:val="20"/>
        </w:rPr>
        <w:t xml:space="preserve">the ninth statement 36 respondents (51.4%) stated they were not satisfied, and in the tenth statement 39 respondents (55.7%) again stated </w:t>
      </w:r>
      <w:r w:rsidR="00987A58">
        <w:rPr>
          <w:color w:val="000000"/>
          <w:sz w:val="20"/>
        </w:rPr>
        <w:t xml:space="preserve">that </w:t>
      </w:r>
      <w:r w:rsidR="00947E8A" w:rsidRPr="00947E8A">
        <w:rPr>
          <w:color w:val="000000"/>
          <w:sz w:val="20"/>
        </w:rPr>
        <w:t>they were not satisfied. Then from the results of the processed data it can be stat</w:t>
      </w:r>
      <w:r w:rsidR="00987A58">
        <w:rPr>
          <w:color w:val="000000"/>
          <w:sz w:val="20"/>
        </w:rPr>
        <w:t xml:space="preserve">ed that </w:t>
      </w:r>
      <w:r w:rsidR="00987A58" w:rsidRPr="00947E8A">
        <w:rPr>
          <w:color w:val="000000"/>
          <w:sz w:val="20"/>
        </w:rPr>
        <w:t>respondents felt dissatisfied</w:t>
      </w:r>
      <w:r w:rsidR="00987A58">
        <w:rPr>
          <w:color w:val="000000"/>
          <w:sz w:val="20"/>
        </w:rPr>
        <w:t xml:space="preserve"> in the variable empathy/</w:t>
      </w:r>
      <w:r w:rsidR="00947E8A" w:rsidRPr="00947E8A">
        <w:rPr>
          <w:color w:val="000000"/>
          <w:sz w:val="20"/>
        </w:rPr>
        <w:t xml:space="preserve">empathy IT services </w:t>
      </w:r>
      <w:r w:rsidR="00987A58">
        <w:rPr>
          <w:color w:val="000000"/>
          <w:sz w:val="20"/>
        </w:rPr>
        <w:t xml:space="preserve">of </w:t>
      </w:r>
      <w:r w:rsidR="00947E8A" w:rsidRPr="00947E8A">
        <w:rPr>
          <w:color w:val="000000"/>
          <w:sz w:val="20"/>
        </w:rPr>
        <w:t>the Gojek</w:t>
      </w:r>
      <w:r w:rsidR="00987A58">
        <w:rPr>
          <w:color w:val="000000"/>
          <w:sz w:val="20"/>
        </w:rPr>
        <w:t xml:space="preserve"> application</w:t>
      </w:r>
      <w:r w:rsidR="00947E8A" w:rsidRPr="00947E8A">
        <w:rPr>
          <w:color w:val="000000"/>
          <w:sz w:val="20"/>
        </w:rPr>
        <w:t>.</w:t>
      </w:r>
    </w:p>
    <w:p w:rsidR="00176D02" w:rsidRPr="00947E8A" w:rsidRDefault="00176D02" w:rsidP="00176D02">
      <w:pPr>
        <w:tabs>
          <w:tab w:val="left" w:pos="567"/>
        </w:tabs>
        <w:autoSpaceDE w:val="0"/>
        <w:autoSpaceDN w:val="0"/>
        <w:adjustRightInd w:val="0"/>
        <w:spacing w:before="0" w:line="240" w:lineRule="auto"/>
        <w:ind w:firstLine="0"/>
        <w:rPr>
          <w:b/>
          <w:sz w:val="20"/>
          <w:lang w:eastAsia="id-ID"/>
        </w:rPr>
      </w:pPr>
      <w:r>
        <w:rPr>
          <w:b/>
          <w:sz w:val="20"/>
          <w:lang w:val="id-ID" w:eastAsia="id-ID"/>
        </w:rPr>
        <w:t>3</w:t>
      </w:r>
      <w:r w:rsidR="00947E8A">
        <w:rPr>
          <w:b/>
          <w:sz w:val="20"/>
          <w:lang w:val="id-ID" w:eastAsia="id-ID"/>
        </w:rPr>
        <w:t>).</w:t>
      </w:r>
      <w:r w:rsidR="00947E8A">
        <w:rPr>
          <w:b/>
          <w:sz w:val="20"/>
          <w:lang w:eastAsia="id-ID"/>
        </w:rPr>
        <w:tab/>
      </w:r>
      <w:r w:rsidRPr="00947E8A">
        <w:rPr>
          <w:b/>
          <w:sz w:val="20"/>
          <w:lang w:val="id-ID"/>
        </w:rPr>
        <w:t>Responsiveness</w:t>
      </w:r>
      <w:r w:rsidR="00947E8A">
        <w:rPr>
          <w:b/>
          <w:sz w:val="20"/>
        </w:rPr>
        <w:t>Variable</w:t>
      </w:r>
    </w:p>
    <w:p w:rsidR="00947E8A" w:rsidRDefault="00947E8A" w:rsidP="00176D02">
      <w:pPr>
        <w:tabs>
          <w:tab w:val="left" w:pos="567"/>
        </w:tabs>
        <w:autoSpaceDE w:val="0"/>
        <w:autoSpaceDN w:val="0"/>
        <w:adjustRightInd w:val="0"/>
        <w:spacing w:before="0" w:line="240" w:lineRule="auto"/>
        <w:ind w:firstLine="0"/>
        <w:rPr>
          <w:color w:val="000000"/>
          <w:sz w:val="20"/>
        </w:rPr>
      </w:pPr>
      <w:r>
        <w:rPr>
          <w:color w:val="000000"/>
          <w:sz w:val="20"/>
        </w:rPr>
        <w:tab/>
      </w:r>
      <w:r w:rsidRPr="00947E8A">
        <w:rPr>
          <w:color w:val="000000"/>
          <w:sz w:val="20"/>
        </w:rPr>
        <w:t>From the results of each item as many as 9 statements tested on the responsiveness variable, in the first statement</w:t>
      </w:r>
      <w:r w:rsidR="008A2867">
        <w:rPr>
          <w:color w:val="000000"/>
          <w:sz w:val="20"/>
        </w:rPr>
        <w:t xml:space="preserve">, </w:t>
      </w:r>
      <w:r w:rsidR="008A2867" w:rsidRPr="00947E8A">
        <w:rPr>
          <w:color w:val="000000"/>
          <w:sz w:val="20"/>
        </w:rPr>
        <w:t>dominant</w:t>
      </w:r>
      <w:r w:rsidR="008A2867">
        <w:rPr>
          <w:color w:val="000000"/>
          <w:sz w:val="20"/>
        </w:rPr>
        <w:t>ly</w:t>
      </w:r>
      <w:r w:rsidRPr="00947E8A">
        <w:rPr>
          <w:color w:val="000000"/>
          <w:sz w:val="20"/>
        </w:rPr>
        <w:t xml:space="preserve"> 35 respondents (50.0%) stated that they were not satisfied, </w:t>
      </w:r>
      <w:r w:rsidR="008A2867">
        <w:rPr>
          <w:color w:val="000000"/>
          <w:sz w:val="20"/>
        </w:rPr>
        <w:t xml:space="preserve">in </w:t>
      </w:r>
      <w:r w:rsidRPr="00947E8A">
        <w:rPr>
          <w:color w:val="000000"/>
          <w:sz w:val="20"/>
        </w:rPr>
        <w:t xml:space="preserve">the second statement as many as 43 respondents (61.4%) stated that they were not satisfied, </w:t>
      </w:r>
      <w:r w:rsidR="008A2867">
        <w:rPr>
          <w:color w:val="000000"/>
          <w:sz w:val="20"/>
        </w:rPr>
        <w:t>40 respondents (57.</w:t>
      </w:r>
      <w:r w:rsidRPr="00947E8A">
        <w:rPr>
          <w:color w:val="000000"/>
          <w:sz w:val="20"/>
        </w:rPr>
        <w:t xml:space="preserve">1%) </w:t>
      </w:r>
      <w:r w:rsidR="008A2867">
        <w:rPr>
          <w:color w:val="000000"/>
          <w:sz w:val="20"/>
        </w:rPr>
        <w:t xml:space="preserve">in </w:t>
      </w:r>
      <w:r w:rsidR="008A2867" w:rsidRPr="00947E8A">
        <w:rPr>
          <w:color w:val="000000"/>
          <w:sz w:val="20"/>
        </w:rPr>
        <w:t xml:space="preserve">the third statement </w:t>
      </w:r>
      <w:r w:rsidRPr="00947E8A">
        <w:rPr>
          <w:color w:val="000000"/>
          <w:sz w:val="20"/>
        </w:rPr>
        <w:t xml:space="preserve">again expressed dissatisfaction, 40 more respondents (57.1%) </w:t>
      </w:r>
      <w:r w:rsidR="008A2867">
        <w:rPr>
          <w:color w:val="000000"/>
          <w:sz w:val="20"/>
        </w:rPr>
        <w:t xml:space="preserve">in </w:t>
      </w:r>
      <w:r w:rsidR="008A2867" w:rsidRPr="00947E8A">
        <w:rPr>
          <w:color w:val="000000"/>
          <w:sz w:val="20"/>
        </w:rPr>
        <w:t xml:space="preserve">the fourth statement </w:t>
      </w:r>
      <w:r w:rsidRPr="00947E8A">
        <w:rPr>
          <w:color w:val="000000"/>
          <w:sz w:val="20"/>
        </w:rPr>
        <w:t>stated</w:t>
      </w:r>
      <w:r w:rsidR="008A2867">
        <w:rPr>
          <w:color w:val="000000"/>
          <w:sz w:val="20"/>
        </w:rPr>
        <w:t xml:space="preserve"> that they were not satisfied, i</w:t>
      </w:r>
      <w:r w:rsidRPr="00947E8A">
        <w:rPr>
          <w:color w:val="000000"/>
          <w:sz w:val="20"/>
        </w:rPr>
        <w:t xml:space="preserve">n the fifth statement 40 respondents (57.1%) </w:t>
      </w:r>
      <w:r w:rsidR="008A2867">
        <w:rPr>
          <w:color w:val="000000"/>
          <w:sz w:val="20"/>
        </w:rPr>
        <w:t>re</w:t>
      </w:r>
      <w:r w:rsidRPr="00947E8A">
        <w:rPr>
          <w:color w:val="000000"/>
          <w:sz w:val="20"/>
        </w:rPr>
        <w:t xml:space="preserve">stated that they were not satisfied, </w:t>
      </w:r>
      <w:r w:rsidR="008A2867">
        <w:rPr>
          <w:color w:val="000000"/>
          <w:sz w:val="20"/>
        </w:rPr>
        <w:t xml:space="preserve">in </w:t>
      </w:r>
      <w:r w:rsidRPr="00947E8A">
        <w:rPr>
          <w:color w:val="000000"/>
          <w:sz w:val="20"/>
        </w:rPr>
        <w:t xml:space="preserve">the sixth </w:t>
      </w:r>
      <w:r w:rsidR="009D3294">
        <w:rPr>
          <w:color w:val="000000"/>
          <w:sz w:val="20"/>
          <w:shd w:val="clear" w:color="auto" w:fill="FFFFFF" w:themeFill="background1"/>
        </w:rPr>
        <w:t>statement</w:t>
      </w:r>
      <w:r w:rsidRPr="009D3294">
        <w:rPr>
          <w:color w:val="000000"/>
          <w:sz w:val="20"/>
          <w:shd w:val="clear" w:color="auto" w:fill="FFFFFF" w:themeFill="background1"/>
        </w:rPr>
        <w:t xml:space="preserve"> 44 respondents (62.9%)</w:t>
      </w:r>
      <w:r w:rsidRPr="00947E8A">
        <w:rPr>
          <w:color w:val="000000"/>
          <w:sz w:val="20"/>
        </w:rPr>
        <w:t xml:space="preserve"> stated dissatisfaction, the seventh statement as many as 43 respondents (61.4%) stated that they were dissatisfied, 39 respondents (55.7%)</w:t>
      </w:r>
      <w:r w:rsidR="009D3294">
        <w:rPr>
          <w:color w:val="000000"/>
          <w:sz w:val="20"/>
        </w:rPr>
        <w:t xml:space="preserve"> in </w:t>
      </w:r>
      <w:r w:rsidR="009D3294" w:rsidRPr="00947E8A">
        <w:rPr>
          <w:color w:val="000000"/>
          <w:sz w:val="20"/>
        </w:rPr>
        <w:t>the eight statement</w:t>
      </w:r>
      <w:r w:rsidRPr="00947E8A">
        <w:rPr>
          <w:color w:val="000000"/>
          <w:sz w:val="20"/>
        </w:rPr>
        <w:t xml:space="preserve"> stated they were not satisfied, and </w:t>
      </w:r>
      <w:r w:rsidR="009D3294">
        <w:rPr>
          <w:color w:val="000000"/>
          <w:sz w:val="20"/>
        </w:rPr>
        <w:t xml:space="preserve">in </w:t>
      </w:r>
      <w:r w:rsidRPr="00947E8A">
        <w:rPr>
          <w:color w:val="000000"/>
          <w:sz w:val="20"/>
        </w:rPr>
        <w:t xml:space="preserve">the last statement as many as 42 respondents (60.0%) again stated </w:t>
      </w:r>
      <w:r w:rsidR="009D3294">
        <w:rPr>
          <w:color w:val="000000"/>
          <w:sz w:val="20"/>
        </w:rPr>
        <w:t xml:space="preserve">that they were </w:t>
      </w:r>
      <w:r w:rsidRPr="00947E8A">
        <w:rPr>
          <w:color w:val="000000"/>
          <w:sz w:val="20"/>
        </w:rPr>
        <w:t>less satisfied. Then from the results of the processed data it can be stated that</w:t>
      </w:r>
      <w:r w:rsidR="009D3294" w:rsidRPr="00947E8A">
        <w:rPr>
          <w:color w:val="000000"/>
          <w:sz w:val="20"/>
        </w:rPr>
        <w:t>respondents felt dissatisfied</w:t>
      </w:r>
      <w:r w:rsidRPr="00947E8A">
        <w:rPr>
          <w:color w:val="000000"/>
          <w:sz w:val="20"/>
        </w:rPr>
        <w:t xml:space="preserve"> on the responsiveness of IT services </w:t>
      </w:r>
      <w:r w:rsidR="009D3294">
        <w:rPr>
          <w:color w:val="000000"/>
          <w:sz w:val="20"/>
        </w:rPr>
        <w:t>of Gojek</w:t>
      </w:r>
      <w:r w:rsidRPr="00947E8A">
        <w:rPr>
          <w:color w:val="000000"/>
          <w:sz w:val="20"/>
        </w:rPr>
        <w:t xml:space="preserve"> application.</w:t>
      </w:r>
    </w:p>
    <w:p w:rsidR="00176D02" w:rsidRPr="00947E8A" w:rsidRDefault="00176D02" w:rsidP="00176D02">
      <w:pPr>
        <w:tabs>
          <w:tab w:val="left" w:pos="567"/>
        </w:tabs>
        <w:autoSpaceDE w:val="0"/>
        <w:autoSpaceDN w:val="0"/>
        <w:adjustRightInd w:val="0"/>
        <w:spacing w:before="0" w:line="240" w:lineRule="auto"/>
        <w:ind w:firstLine="0"/>
        <w:rPr>
          <w:b/>
          <w:i/>
          <w:sz w:val="20"/>
          <w:lang w:eastAsia="id-ID"/>
        </w:rPr>
      </w:pPr>
      <w:r>
        <w:rPr>
          <w:b/>
          <w:sz w:val="20"/>
          <w:lang w:val="id-ID" w:eastAsia="id-ID"/>
        </w:rPr>
        <w:t>4).</w:t>
      </w:r>
      <w:r>
        <w:rPr>
          <w:b/>
          <w:sz w:val="20"/>
          <w:lang w:val="id-ID" w:eastAsia="id-ID"/>
        </w:rPr>
        <w:tab/>
      </w:r>
      <w:r w:rsidRPr="00947E8A">
        <w:rPr>
          <w:b/>
          <w:sz w:val="20"/>
          <w:lang w:val="id-ID"/>
        </w:rPr>
        <w:t>Reliability</w:t>
      </w:r>
      <w:r w:rsidR="00947E8A">
        <w:rPr>
          <w:b/>
          <w:sz w:val="20"/>
        </w:rPr>
        <w:t xml:space="preserve"> Variable</w:t>
      </w:r>
    </w:p>
    <w:p w:rsidR="00947E8A" w:rsidRDefault="00947E8A" w:rsidP="00176D02">
      <w:pPr>
        <w:tabs>
          <w:tab w:val="left" w:pos="567"/>
        </w:tabs>
        <w:autoSpaceDE w:val="0"/>
        <w:autoSpaceDN w:val="0"/>
        <w:adjustRightInd w:val="0"/>
        <w:spacing w:before="0" w:line="240" w:lineRule="auto"/>
        <w:ind w:firstLine="0"/>
        <w:rPr>
          <w:color w:val="000000"/>
          <w:sz w:val="20"/>
        </w:rPr>
      </w:pPr>
      <w:r>
        <w:rPr>
          <w:color w:val="000000"/>
          <w:sz w:val="20"/>
        </w:rPr>
        <w:tab/>
      </w:r>
      <w:r w:rsidRPr="00947E8A">
        <w:rPr>
          <w:color w:val="000000"/>
          <w:sz w:val="20"/>
        </w:rPr>
        <w:t>From the results of each item as many as 7 statements tested on the reliability variable, in the first statement</w:t>
      </w:r>
      <w:r w:rsidR="00480E23">
        <w:rPr>
          <w:color w:val="000000"/>
          <w:sz w:val="20"/>
        </w:rPr>
        <w:t xml:space="preserve">, </w:t>
      </w:r>
      <w:r w:rsidR="00480E23" w:rsidRPr="00947E8A">
        <w:rPr>
          <w:color w:val="000000"/>
          <w:sz w:val="20"/>
        </w:rPr>
        <w:t>dominant</w:t>
      </w:r>
      <w:r w:rsidR="00480E23">
        <w:rPr>
          <w:color w:val="000000"/>
          <w:sz w:val="20"/>
        </w:rPr>
        <w:t>ly</w:t>
      </w:r>
      <w:r w:rsidRPr="00947E8A">
        <w:rPr>
          <w:color w:val="000000"/>
          <w:sz w:val="20"/>
        </w:rPr>
        <w:t xml:space="preserve"> 39 respondents (55.7%) stated that they were not satisfied,</w:t>
      </w:r>
      <w:r w:rsidR="00480E23">
        <w:rPr>
          <w:color w:val="000000"/>
          <w:sz w:val="20"/>
        </w:rPr>
        <w:t xml:space="preserve"> in</w:t>
      </w:r>
      <w:r w:rsidRPr="00947E8A">
        <w:rPr>
          <w:color w:val="000000"/>
          <w:sz w:val="20"/>
        </w:rPr>
        <w:t xml:space="preserve"> the second statement as many as 36 respondents (51.4%) stated that they were not satisfied, </w:t>
      </w:r>
      <w:r w:rsidR="00480E23">
        <w:rPr>
          <w:color w:val="000000"/>
          <w:sz w:val="20"/>
        </w:rPr>
        <w:t>39 respondents (55.</w:t>
      </w:r>
      <w:r w:rsidRPr="00947E8A">
        <w:rPr>
          <w:color w:val="000000"/>
          <w:sz w:val="20"/>
        </w:rPr>
        <w:t xml:space="preserve">7%) </w:t>
      </w:r>
      <w:r w:rsidR="00480E23">
        <w:rPr>
          <w:color w:val="000000"/>
          <w:sz w:val="20"/>
        </w:rPr>
        <w:t xml:space="preserve">in </w:t>
      </w:r>
      <w:r w:rsidR="00480E23" w:rsidRPr="00947E8A">
        <w:rPr>
          <w:color w:val="000000"/>
          <w:sz w:val="20"/>
        </w:rPr>
        <w:t xml:space="preserve">the third statement </w:t>
      </w:r>
      <w:r w:rsidRPr="00947E8A">
        <w:rPr>
          <w:color w:val="000000"/>
          <w:sz w:val="20"/>
        </w:rPr>
        <w:t xml:space="preserve">again expressed dissatisfaction, </w:t>
      </w:r>
      <w:r w:rsidR="00480E23">
        <w:rPr>
          <w:color w:val="000000"/>
          <w:sz w:val="20"/>
        </w:rPr>
        <w:t xml:space="preserve">in </w:t>
      </w:r>
      <w:r w:rsidRPr="00947E8A">
        <w:rPr>
          <w:color w:val="000000"/>
          <w:sz w:val="20"/>
        </w:rPr>
        <w:t>the fourth statement 40 respondents (57.1%) stated they were not satisfied, on the fifth statement 41 respondents (58.6%) stated they were not satisfied, 45 respondents (64.3%)</w:t>
      </w:r>
      <w:r w:rsidR="00480E23">
        <w:rPr>
          <w:color w:val="000000"/>
          <w:sz w:val="20"/>
        </w:rPr>
        <w:t xml:space="preserve"> in </w:t>
      </w:r>
      <w:r w:rsidR="00480E23" w:rsidRPr="00947E8A">
        <w:rPr>
          <w:color w:val="000000"/>
          <w:sz w:val="20"/>
        </w:rPr>
        <w:t>the sixth statement</w:t>
      </w:r>
      <w:r w:rsidRPr="00947E8A">
        <w:rPr>
          <w:color w:val="000000"/>
          <w:sz w:val="20"/>
        </w:rPr>
        <w:t xml:space="preserve"> stated less satisfied, and in the seventh statement as many as 36 respondents (51.4%) respondents again stated they were not satisfied. Then from the processed data, it stated tha</w:t>
      </w:r>
      <w:r>
        <w:rPr>
          <w:color w:val="000000"/>
          <w:sz w:val="20"/>
        </w:rPr>
        <w:t>t</w:t>
      </w:r>
      <w:r w:rsidR="008408A1" w:rsidRPr="00947E8A">
        <w:rPr>
          <w:color w:val="000000"/>
          <w:sz w:val="20"/>
        </w:rPr>
        <w:t>respondents felt dissatisfied</w:t>
      </w:r>
      <w:r>
        <w:rPr>
          <w:color w:val="000000"/>
          <w:sz w:val="20"/>
        </w:rPr>
        <w:t xml:space="preserve"> in reliability</w:t>
      </w:r>
      <w:r w:rsidRPr="00947E8A">
        <w:rPr>
          <w:color w:val="000000"/>
          <w:sz w:val="20"/>
        </w:rPr>
        <w:t>variable</w:t>
      </w:r>
      <w:r w:rsidR="008408A1">
        <w:rPr>
          <w:color w:val="000000"/>
          <w:sz w:val="20"/>
        </w:rPr>
        <w:t xml:space="preserve"> of the IT service of </w:t>
      </w:r>
      <w:r w:rsidRPr="00947E8A">
        <w:rPr>
          <w:color w:val="000000"/>
          <w:sz w:val="20"/>
        </w:rPr>
        <w:t>Gojek</w:t>
      </w:r>
      <w:r w:rsidR="008408A1">
        <w:rPr>
          <w:color w:val="000000"/>
          <w:sz w:val="20"/>
        </w:rPr>
        <w:t xml:space="preserve"> application</w:t>
      </w:r>
      <w:r w:rsidRPr="00947E8A">
        <w:rPr>
          <w:color w:val="000000"/>
          <w:sz w:val="20"/>
        </w:rPr>
        <w:t>.</w:t>
      </w:r>
    </w:p>
    <w:p w:rsidR="00176D02" w:rsidRPr="00947E8A" w:rsidRDefault="00176D02" w:rsidP="00176D02">
      <w:pPr>
        <w:tabs>
          <w:tab w:val="left" w:pos="567"/>
        </w:tabs>
        <w:autoSpaceDE w:val="0"/>
        <w:autoSpaceDN w:val="0"/>
        <w:adjustRightInd w:val="0"/>
        <w:spacing w:before="0" w:line="240" w:lineRule="auto"/>
        <w:ind w:firstLine="0"/>
        <w:rPr>
          <w:b/>
          <w:i/>
          <w:sz w:val="20"/>
          <w:lang w:eastAsia="id-ID"/>
        </w:rPr>
      </w:pPr>
      <w:r>
        <w:rPr>
          <w:b/>
          <w:sz w:val="20"/>
          <w:lang w:val="id-ID" w:eastAsia="id-ID"/>
        </w:rPr>
        <w:t>5).</w:t>
      </w:r>
      <w:r>
        <w:rPr>
          <w:b/>
          <w:sz w:val="20"/>
          <w:lang w:val="id-ID" w:eastAsia="id-ID"/>
        </w:rPr>
        <w:tab/>
      </w:r>
      <w:r w:rsidRPr="00947E8A">
        <w:rPr>
          <w:b/>
          <w:sz w:val="20"/>
          <w:lang w:val="id-ID"/>
        </w:rPr>
        <w:t>Assurance</w:t>
      </w:r>
      <w:r w:rsidR="00947E8A">
        <w:rPr>
          <w:b/>
          <w:sz w:val="20"/>
        </w:rPr>
        <w:t xml:space="preserve"> Variable</w:t>
      </w:r>
    </w:p>
    <w:p w:rsidR="00176D02" w:rsidRPr="0088412E" w:rsidRDefault="00947E8A" w:rsidP="00176D02">
      <w:pPr>
        <w:pStyle w:val="ListParagraph"/>
        <w:tabs>
          <w:tab w:val="left" w:pos="567"/>
        </w:tabs>
        <w:spacing w:before="0" w:line="240" w:lineRule="auto"/>
        <w:ind w:left="0" w:firstLine="0"/>
        <w:rPr>
          <w:noProof/>
          <w:sz w:val="20"/>
          <w:lang w:val="id-ID"/>
        </w:rPr>
      </w:pPr>
      <w:r>
        <w:rPr>
          <w:color w:val="000000"/>
          <w:sz w:val="20"/>
        </w:rPr>
        <w:tab/>
      </w:r>
      <w:r w:rsidRPr="00947E8A">
        <w:rPr>
          <w:color w:val="000000"/>
          <w:sz w:val="20"/>
        </w:rPr>
        <w:t>Based on the results table of each item as many as 6 statements tested on the assurance variable, in the first statement</w:t>
      </w:r>
      <w:r w:rsidR="008408A1">
        <w:rPr>
          <w:color w:val="000000"/>
          <w:sz w:val="20"/>
        </w:rPr>
        <w:t>,</w:t>
      </w:r>
      <w:r w:rsidR="008408A1" w:rsidRPr="00947E8A">
        <w:rPr>
          <w:color w:val="000000"/>
          <w:sz w:val="20"/>
        </w:rPr>
        <w:t>dominant</w:t>
      </w:r>
      <w:r w:rsidR="008408A1">
        <w:rPr>
          <w:color w:val="000000"/>
          <w:sz w:val="20"/>
        </w:rPr>
        <w:t>ly</w:t>
      </w:r>
      <w:r w:rsidRPr="00947E8A">
        <w:rPr>
          <w:color w:val="000000"/>
          <w:sz w:val="20"/>
        </w:rPr>
        <w:t>37 respondents (52.9%) stated that they were not satisfied,</w:t>
      </w:r>
      <w:r w:rsidR="008408A1">
        <w:rPr>
          <w:color w:val="000000"/>
          <w:sz w:val="20"/>
        </w:rPr>
        <w:t xml:space="preserve"> in</w:t>
      </w:r>
      <w:r w:rsidRPr="00947E8A">
        <w:rPr>
          <w:color w:val="000000"/>
          <w:sz w:val="20"/>
        </w:rPr>
        <w:t xml:space="preserve"> the second statement as many as 41 respondents (58.6%) stated that they were not satisfied,41 respondents (58.6%) </w:t>
      </w:r>
      <w:r w:rsidR="008408A1">
        <w:rPr>
          <w:color w:val="000000"/>
          <w:sz w:val="20"/>
        </w:rPr>
        <w:t>in</w:t>
      </w:r>
      <w:r w:rsidR="008408A1" w:rsidRPr="00947E8A">
        <w:rPr>
          <w:color w:val="000000"/>
          <w:sz w:val="20"/>
        </w:rPr>
        <w:t xml:space="preserve"> the third statement </w:t>
      </w:r>
      <w:r w:rsidRPr="00947E8A">
        <w:rPr>
          <w:color w:val="000000"/>
          <w:sz w:val="20"/>
        </w:rPr>
        <w:t xml:space="preserve">again expressed dissatisfaction, </w:t>
      </w:r>
      <w:r w:rsidR="008408A1">
        <w:rPr>
          <w:color w:val="000000"/>
          <w:sz w:val="20"/>
        </w:rPr>
        <w:t xml:space="preserve">in </w:t>
      </w:r>
      <w:r w:rsidRPr="00947E8A">
        <w:rPr>
          <w:color w:val="000000"/>
          <w:sz w:val="20"/>
        </w:rPr>
        <w:t xml:space="preserve">the fourth statement 42 respondents (60.0%) stated that they were not satisfied, on the fifth statement 41 respondents (58.6%) stated they were not satisfied, and 41 respondents (58.6 %) </w:t>
      </w:r>
      <w:r w:rsidR="008408A1">
        <w:rPr>
          <w:color w:val="000000"/>
          <w:sz w:val="20"/>
        </w:rPr>
        <w:t xml:space="preserve">in </w:t>
      </w:r>
      <w:r w:rsidR="008408A1" w:rsidRPr="00947E8A">
        <w:rPr>
          <w:color w:val="000000"/>
          <w:sz w:val="20"/>
        </w:rPr>
        <w:t xml:space="preserve">the sixth statement </w:t>
      </w:r>
      <w:r w:rsidRPr="00947E8A">
        <w:rPr>
          <w:color w:val="000000"/>
          <w:sz w:val="20"/>
        </w:rPr>
        <w:t>stated that they were not satisfied. Then from the processed data, it stated that</w:t>
      </w:r>
      <w:r w:rsidR="008408A1" w:rsidRPr="00947E8A">
        <w:rPr>
          <w:color w:val="000000"/>
          <w:sz w:val="20"/>
        </w:rPr>
        <w:t>respondents felt dissatisfied</w:t>
      </w:r>
      <w:r w:rsidR="008408A1">
        <w:rPr>
          <w:color w:val="000000"/>
          <w:sz w:val="20"/>
        </w:rPr>
        <w:t xml:space="preserve"> toward the IT service assurance variable of</w:t>
      </w:r>
      <w:r w:rsidRPr="00947E8A">
        <w:rPr>
          <w:color w:val="000000"/>
          <w:sz w:val="20"/>
        </w:rPr>
        <w:t>Gojek</w:t>
      </w:r>
      <w:r w:rsidR="008408A1">
        <w:rPr>
          <w:color w:val="000000"/>
          <w:sz w:val="20"/>
        </w:rPr>
        <w:t xml:space="preserve"> application</w:t>
      </w:r>
      <w:r w:rsidRPr="00947E8A">
        <w:rPr>
          <w:color w:val="000000"/>
          <w:sz w:val="20"/>
        </w:rPr>
        <w:t>.</w:t>
      </w:r>
    </w:p>
    <w:p w:rsidR="00176D02" w:rsidRPr="0088412E" w:rsidRDefault="00176D02" w:rsidP="00176D02">
      <w:pPr>
        <w:pStyle w:val="ListParagraph"/>
        <w:tabs>
          <w:tab w:val="left" w:pos="567"/>
        </w:tabs>
        <w:spacing w:before="0" w:line="240" w:lineRule="auto"/>
        <w:ind w:left="0" w:firstLine="0"/>
        <w:rPr>
          <w:noProof/>
          <w:sz w:val="20"/>
          <w:lang w:val="id-ID"/>
        </w:rPr>
      </w:pPr>
    </w:p>
    <w:p w:rsidR="00176D02" w:rsidRPr="00176D02" w:rsidRDefault="00176D02" w:rsidP="00176D02">
      <w:pPr>
        <w:pStyle w:val="ListParagraph"/>
        <w:tabs>
          <w:tab w:val="left" w:pos="567"/>
        </w:tabs>
        <w:spacing w:before="0" w:line="240" w:lineRule="auto"/>
        <w:ind w:left="0" w:firstLine="0"/>
        <w:rPr>
          <w:b/>
          <w:noProof/>
          <w:color w:val="000000"/>
          <w:sz w:val="20"/>
        </w:rPr>
      </w:pPr>
      <w:r w:rsidRPr="0088412E">
        <w:rPr>
          <w:b/>
          <w:noProof/>
          <w:color w:val="000000"/>
          <w:sz w:val="20"/>
        </w:rPr>
        <w:t>4.</w:t>
      </w:r>
      <w:r w:rsidRPr="0088412E">
        <w:rPr>
          <w:b/>
          <w:noProof/>
          <w:color w:val="000000"/>
          <w:sz w:val="20"/>
        </w:rPr>
        <w:tab/>
      </w:r>
      <w:r>
        <w:rPr>
          <w:b/>
          <w:noProof/>
          <w:color w:val="000000"/>
          <w:sz w:val="20"/>
        </w:rPr>
        <w:t>CONCLUSION</w:t>
      </w:r>
    </w:p>
    <w:p w:rsidR="008408A1" w:rsidRDefault="00176D02" w:rsidP="00176D02">
      <w:pPr>
        <w:tabs>
          <w:tab w:val="left" w:pos="567"/>
        </w:tabs>
        <w:autoSpaceDE w:val="0"/>
        <w:autoSpaceDN w:val="0"/>
        <w:adjustRightInd w:val="0"/>
        <w:spacing w:before="0" w:line="240" w:lineRule="auto"/>
        <w:ind w:left="567" w:hanging="567"/>
        <w:rPr>
          <w:sz w:val="20"/>
          <w:lang w:eastAsia="id-ID"/>
        </w:rPr>
      </w:pPr>
      <w:r w:rsidRPr="0088412E">
        <w:rPr>
          <w:sz w:val="20"/>
        </w:rPr>
        <w:t>1.</w:t>
      </w:r>
      <w:r w:rsidRPr="0088412E">
        <w:rPr>
          <w:sz w:val="20"/>
        </w:rPr>
        <w:tab/>
      </w:r>
      <w:r w:rsidR="008408A1">
        <w:rPr>
          <w:sz w:val="20"/>
          <w:lang w:eastAsia="id-ID"/>
        </w:rPr>
        <w:t>In order</w:t>
      </w:r>
      <w:r w:rsidR="00947E8A" w:rsidRPr="00947E8A">
        <w:rPr>
          <w:sz w:val="20"/>
          <w:lang w:eastAsia="id-ID"/>
        </w:rPr>
        <w:t xml:space="preserve"> to analyze the level of sa</w:t>
      </w:r>
      <w:r w:rsidR="008408A1">
        <w:rPr>
          <w:sz w:val="20"/>
          <w:lang w:eastAsia="id-ID"/>
        </w:rPr>
        <w:t>tisfaction of IT services in Gojek application wa</w:t>
      </w:r>
      <w:r w:rsidR="00947E8A" w:rsidRPr="00947E8A">
        <w:rPr>
          <w:sz w:val="20"/>
          <w:lang w:eastAsia="id-ID"/>
        </w:rPr>
        <w:t xml:space="preserve">s by making a questionnaire on </w:t>
      </w:r>
      <w:r w:rsidR="008408A1">
        <w:rPr>
          <w:sz w:val="20"/>
          <w:lang w:eastAsia="id-ID"/>
        </w:rPr>
        <w:t>Gojek application customers’</w:t>
      </w:r>
      <w:r w:rsidR="00947E8A" w:rsidRPr="00947E8A">
        <w:rPr>
          <w:sz w:val="20"/>
          <w:lang w:eastAsia="id-ID"/>
        </w:rPr>
        <w:t xml:space="preserve"> level of satisfaction</w:t>
      </w:r>
      <w:r w:rsidR="008408A1">
        <w:rPr>
          <w:sz w:val="20"/>
          <w:lang w:eastAsia="id-ID"/>
        </w:rPr>
        <w:t>.</w:t>
      </w:r>
    </w:p>
    <w:p w:rsidR="00176D02" w:rsidRDefault="00176D02" w:rsidP="00176D02">
      <w:pPr>
        <w:tabs>
          <w:tab w:val="left" w:pos="567"/>
        </w:tabs>
        <w:autoSpaceDE w:val="0"/>
        <w:autoSpaceDN w:val="0"/>
        <w:adjustRightInd w:val="0"/>
        <w:spacing w:before="0" w:line="240" w:lineRule="auto"/>
        <w:ind w:left="567" w:hanging="567"/>
        <w:rPr>
          <w:sz w:val="20"/>
          <w:lang w:val="id-ID" w:eastAsia="id-ID"/>
        </w:rPr>
      </w:pPr>
      <w:r>
        <w:rPr>
          <w:sz w:val="20"/>
          <w:lang w:val="id-ID" w:eastAsia="id-ID"/>
        </w:rPr>
        <w:t>2.</w:t>
      </w:r>
      <w:r>
        <w:rPr>
          <w:sz w:val="20"/>
          <w:lang w:val="id-ID" w:eastAsia="id-ID"/>
        </w:rPr>
        <w:tab/>
      </w:r>
      <w:r w:rsidR="00947E8A" w:rsidRPr="00947E8A">
        <w:rPr>
          <w:sz w:val="20"/>
          <w:lang w:val="id-ID" w:eastAsia="id-ID"/>
        </w:rPr>
        <w:t xml:space="preserve">IT Service </w:t>
      </w:r>
      <w:r w:rsidR="00130990">
        <w:rPr>
          <w:sz w:val="20"/>
          <w:lang w:eastAsia="id-ID"/>
        </w:rPr>
        <w:t xml:space="preserve">of Gojek application </w:t>
      </w:r>
      <w:r w:rsidR="00947E8A" w:rsidRPr="00947E8A">
        <w:rPr>
          <w:sz w:val="20"/>
          <w:lang w:val="id-ID" w:eastAsia="id-ID"/>
        </w:rPr>
        <w:t xml:space="preserve">users </w:t>
      </w:r>
      <w:r w:rsidR="0033169D">
        <w:rPr>
          <w:sz w:val="20"/>
          <w:lang w:eastAsia="id-ID"/>
        </w:rPr>
        <w:t>we</w:t>
      </w:r>
      <w:r w:rsidR="00947E8A" w:rsidRPr="00947E8A">
        <w:rPr>
          <w:sz w:val="20"/>
          <w:lang w:val="id-ID" w:eastAsia="id-ID"/>
        </w:rPr>
        <w:t xml:space="preserve">re dominated by women, ranging in age from 31-40 years old, </w:t>
      </w:r>
      <w:r w:rsidR="00995117">
        <w:rPr>
          <w:sz w:val="20"/>
          <w:lang w:eastAsia="id-ID"/>
        </w:rPr>
        <w:t xml:space="preserve">mostly </w:t>
      </w:r>
      <w:r w:rsidR="00947E8A" w:rsidRPr="00947E8A">
        <w:rPr>
          <w:sz w:val="20"/>
          <w:lang w:val="id-ID" w:eastAsia="id-ID"/>
        </w:rPr>
        <w:t xml:space="preserve">with undergraduate education </w:t>
      </w:r>
      <w:r w:rsidR="0033169D">
        <w:rPr>
          <w:sz w:val="20"/>
          <w:lang w:eastAsia="id-ID"/>
        </w:rPr>
        <w:t xml:space="preserve">and </w:t>
      </w:r>
      <w:r w:rsidR="00947E8A" w:rsidRPr="00947E8A">
        <w:rPr>
          <w:sz w:val="20"/>
          <w:lang w:val="id-ID" w:eastAsia="id-ID"/>
        </w:rPr>
        <w:t xml:space="preserve">working as private </w:t>
      </w:r>
      <w:r w:rsidR="0033169D">
        <w:rPr>
          <w:sz w:val="20"/>
          <w:lang w:eastAsia="id-ID"/>
        </w:rPr>
        <w:t>employee. They also got the</w:t>
      </w:r>
      <w:r w:rsidR="0033169D">
        <w:rPr>
          <w:sz w:val="20"/>
          <w:lang w:val="id-ID" w:eastAsia="id-ID"/>
        </w:rPr>
        <w:t xml:space="preserve"> information from friends/family </w:t>
      </w:r>
      <w:r w:rsidR="0033706F">
        <w:rPr>
          <w:sz w:val="20"/>
          <w:lang w:val="id-ID" w:eastAsia="id-ID"/>
        </w:rPr>
        <w:t>that</w:t>
      </w:r>
      <w:r w:rsidR="0033169D">
        <w:rPr>
          <w:sz w:val="20"/>
          <w:lang w:val="id-ID" w:eastAsia="id-ID"/>
        </w:rPr>
        <w:t xml:space="preserve"> ha</w:t>
      </w:r>
      <w:r w:rsidR="0033169D">
        <w:rPr>
          <w:sz w:val="20"/>
          <w:lang w:eastAsia="id-ID"/>
        </w:rPr>
        <w:t>d</w:t>
      </w:r>
      <w:r w:rsidR="00947E8A" w:rsidRPr="00947E8A">
        <w:rPr>
          <w:sz w:val="20"/>
          <w:lang w:val="id-ID" w:eastAsia="id-ID"/>
        </w:rPr>
        <w:t xml:space="preserve"> more than 6-10 times using the </w:t>
      </w:r>
      <w:r w:rsidR="0033169D">
        <w:rPr>
          <w:sz w:val="20"/>
          <w:lang w:eastAsia="id-ID"/>
        </w:rPr>
        <w:t>Gojek</w:t>
      </w:r>
      <w:r w:rsidR="00947E8A" w:rsidRPr="00947E8A">
        <w:rPr>
          <w:sz w:val="20"/>
          <w:lang w:val="id-ID" w:eastAsia="id-ID"/>
        </w:rPr>
        <w:t>application Gojek</w:t>
      </w:r>
      <w:r w:rsidR="0033169D">
        <w:rPr>
          <w:sz w:val="20"/>
          <w:lang w:eastAsia="id-ID"/>
        </w:rPr>
        <w:t>, especially</w:t>
      </w:r>
      <w:r w:rsidR="00947E8A" w:rsidRPr="00947E8A">
        <w:rPr>
          <w:sz w:val="20"/>
          <w:lang w:val="id-ID" w:eastAsia="id-ID"/>
        </w:rPr>
        <w:t xml:space="preserve"> Go-Ride. From the </w:t>
      </w:r>
      <w:r w:rsidR="0033706F">
        <w:rPr>
          <w:sz w:val="20"/>
          <w:lang w:eastAsia="id-ID"/>
        </w:rPr>
        <w:t>analyzed</w:t>
      </w:r>
      <w:r w:rsidR="0033706F">
        <w:rPr>
          <w:sz w:val="20"/>
          <w:lang w:val="id-ID" w:eastAsia="id-ID"/>
        </w:rPr>
        <w:t xml:space="preserve"> table data </w:t>
      </w:r>
      <w:r w:rsidR="0033706F">
        <w:rPr>
          <w:sz w:val="20"/>
          <w:lang w:eastAsia="id-ID"/>
        </w:rPr>
        <w:t>of</w:t>
      </w:r>
      <w:r w:rsidR="00947E8A" w:rsidRPr="00947E8A">
        <w:rPr>
          <w:sz w:val="20"/>
          <w:lang w:val="id-ID" w:eastAsia="id-ID"/>
        </w:rPr>
        <w:t xml:space="preserve"> each dimension of service quality consisting of </w:t>
      </w:r>
      <w:r w:rsidR="00947E8A" w:rsidRPr="0033706F">
        <w:rPr>
          <w:sz w:val="20"/>
          <w:shd w:val="clear" w:color="auto" w:fill="FFFFFF" w:themeFill="background1"/>
          <w:lang w:val="id-ID" w:eastAsia="id-ID"/>
        </w:rPr>
        <w:t>Tangible, Emphaty</w:t>
      </w:r>
      <w:r w:rsidR="00947E8A" w:rsidRPr="00947E8A">
        <w:rPr>
          <w:sz w:val="20"/>
          <w:lang w:val="id-ID" w:eastAsia="id-ID"/>
        </w:rPr>
        <w:t xml:space="preserve">, Responsiveness, Reliability, and Assurance </w:t>
      </w:r>
      <w:r w:rsidR="0033706F">
        <w:rPr>
          <w:sz w:val="20"/>
          <w:lang w:eastAsia="id-ID"/>
        </w:rPr>
        <w:t>mostly</w:t>
      </w:r>
      <w:r w:rsidR="00947E8A" w:rsidRPr="00947E8A">
        <w:rPr>
          <w:sz w:val="20"/>
          <w:lang w:val="id-ID" w:eastAsia="id-ID"/>
        </w:rPr>
        <w:t xml:space="preserve"> respondents answered less satisfied. This mea</w:t>
      </w:r>
      <w:r w:rsidR="0033706F">
        <w:rPr>
          <w:sz w:val="20"/>
          <w:lang w:val="id-ID" w:eastAsia="id-ID"/>
        </w:rPr>
        <w:t>ns that what respondents (users/</w:t>
      </w:r>
      <w:r w:rsidR="00947E8A" w:rsidRPr="00947E8A">
        <w:rPr>
          <w:sz w:val="20"/>
          <w:lang w:val="id-ID" w:eastAsia="id-ID"/>
        </w:rPr>
        <w:t>customers</w:t>
      </w:r>
      <w:r w:rsidR="0033706F">
        <w:rPr>
          <w:sz w:val="20"/>
          <w:lang w:val="id-ID" w:eastAsia="id-ID"/>
        </w:rPr>
        <w:t xml:space="preserve">) expect from IT services in Gojek application </w:t>
      </w:r>
      <w:r w:rsidR="00995117">
        <w:rPr>
          <w:sz w:val="20"/>
          <w:lang w:eastAsia="id-ID"/>
        </w:rPr>
        <w:t>was</w:t>
      </w:r>
      <w:r w:rsidR="00947E8A" w:rsidRPr="00947E8A">
        <w:rPr>
          <w:sz w:val="20"/>
          <w:lang w:val="id-ID" w:eastAsia="id-ID"/>
        </w:rPr>
        <w:t xml:space="preserve"> not in accordance with the reality in the field.</w:t>
      </w:r>
    </w:p>
    <w:p w:rsidR="00176D02" w:rsidRPr="004A6B66" w:rsidRDefault="00176D02" w:rsidP="00176D02">
      <w:pPr>
        <w:tabs>
          <w:tab w:val="left" w:pos="567"/>
        </w:tabs>
        <w:autoSpaceDE w:val="0"/>
        <w:autoSpaceDN w:val="0"/>
        <w:adjustRightInd w:val="0"/>
        <w:spacing w:before="0" w:line="240" w:lineRule="auto"/>
        <w:ind w:left="567" w:hanging="567"/>
        <w:rPr>
          <w:sz w:val="20"/>
          <w:lang w:val="id-ID" w:eastAsia="id-ID"/>
        </w:rPr>
      </w:pPr>
      <w:r>
        <w:rPr>
          <w:sz w:val="20"/>
          <w:lang w:val="id-ID" w:eastAsia="id-ID"/>
        </w:rPr>
        <w:t>3.</w:t>
      </w:r>
      <w:r>
        <w:rPr>
          <w:sz w:val="20"/>
          <w:lang w:val="id-ID" w:eastAsia="id-ID"/>
        </w:rPr>
        <w:tab/>
      </w:r>
      <w:r w:rsidR="00947E8A" w:rsidRPr="00947E8A">
        <w:rPr>
          <w:sz w:val="20"/>
          <w:lang w:eastAsia="id-ID"/>
        </w:rPr>
        <w:t>PT. Gojek</w:t>
      </w:r>
      <w:r w:rsidR="00995117">
        <w:rPr>
          <w:sz w:val="20"/>
          <w:lang w:eastAsia="id-ID"/>
        </w:rPr>
        <w:t xml:space="preserve"> Palembang should</w:t>
      </w:r>
      <w:r w:rsidR="00947E8A" w:rsidRPr="00947E8A">
        <w:rPr>
          <w:sz w:val="20"/>
          <w:lang w:eastAsia="id-ID"/>
        </w:rPr>
        <w:t xml:space="preserve"> able to </w:t>
      </w:r>
      <w:r w:rsidR="00995117">
        <w:rPr>
          <w:sz w:val="20"/>
          <w:lang w:eastAsia="id-ID"/>
        </w:rPr>
        <w:t>offer</w:t>
      </w:r>
      <w:r w:rsidR="00947E8A" w:rsidRPr="00947E8A">
        <w:rPr>
          <w:sz w:val="20"/>
          <w:lang w:eastAsia="id-ID"/>
        </w:rPr>
        <w:t xml:space="preserve"> better and maximum services through online motorcycle taxi booking services and IT services on other Gojek applications. </w:t>
      </w:r>
      <w:r w:rsidR="0033706F">
        <w:rPr>
          <w:sz w:val="20"/>
          <w:lang w:eastAsia="id-ID"/>
        </w:rPr>
        <w:t>Therefore the IT service users/</w:t>
      </w:r>
      <w:r w:rsidR="00947E8A" w:rsidRPr="00947E8A">
        <w:rPr>
          <w:sz w:val="20"/>
          <w:lang w:eastAsia="id-ID"/>
        </w:rPr>
        <w:t xml:space="preserve">customers of the Gojek application will increase and feel satisfied and of course the Gojek application </w:t>
      </w:r>
      <w:r w:rsidR="0033706F">
        <w:rPr>
          <w:sz w:val="20"/>
          <w:lang w:eastAsia="id-ID"/>
        </w:rPr>
        <w:t xml:space="preserve">in Palembang </w:t>
      </w:r>
      <w:r w:rsidR="00947E8A" w:rsidRPr="00947E8A">
        <w:rPr>
          <w:sz w:val="20"/>
          <w:lang w:eastAsia="id-ID"/>
        </w:rPr>
        <w:t>will continue to last for a long time in the future.</w:t>
      </w:r>
    </w:p>
    <w:p w:rsidR="00176D02" w:rsidRDefault="00176D02" w:rsidP="00176D02">
      <w:pPr>
        <w:tabs>
          <w:tab w:val="left" w:pos="426"/>
        </w:tabs>
        <w:autoSpaceDE w:val="0"/>
        <w:autoSpaceDN w:val="0"/>
        <w:adjustRightInd w:val="0"/>
        <w:spacing w:before="0" w:line="240" w:lineRule="auto"/>
        <w:ind w:left="426" w:hanging="426"/>
        <w:rPr>
          <w:sz w:val="20"/>
          <w:lang w:eastAsia="id-ID"/>
        </w:rPr>
      </w:pPr>
    </w:p>
    <w:p w:rsidR="00947E8A" w:rsidRDefault="00947E8A" w:rsidP="00176D02">
      <w:pPr>
        <w:tabs>
          <w:tab w:val="left" w:pos="426"/>
        </w:tabs>
        <w:autoSpaceDE w:val="0"/>
        <w:autoSpaceDN w:val="0"/>
        <w:adjustRightInd w:val="0"/>
        <w:spacing w:before="0" w:line="240" w:lineRule="auto"/>
        <w:ind w:left="426" w:hanging="426"/>
        <w:rPr>
          <w:sz w:val="20"/>
          <w:lang w:eastAsia="id-ID"/>
        </w:rPr>
      </w:pPr>
    </w:p>
    <w:p w:rsidR="00947E8A" w:rsidRDefault="00947E8A" w:rsidP="00176D02">
      <w:pPr>
        <w:tabs>
          <w:tab w:val="left" w:pos="426"/>
        </w:tabs>
        <w:autoSpaceDE w:val="0"/>
        <w:autoSpaceDN w:val="0"/>
        <w:adjustRightInd w:val="0"/>
        <w:spacing w:before="0" w:line="240" w:lineRule="auto"/>
        <w:ind w:left="426" w:hanging="426"/>
        <w:rPr>
          <w:sz w:val="20"/>
          <w:lang w:eastAsia="id-ID"/>
        </w:rPr>
      </w:pPr>
    </w:p>
    <w:p w:rsidR="00947E8A" w:rsidRDefault="00947E8A" w:rsidP="00176D02">
      <w:pPr>
        <w:tabs>
          <w:tab w:val="left" w:pos="426"/>
        </w:tabs>
        <w:autoSpaceDE w:val="0"/>
        <w:autoSpaceDN w:val="0"/>
        <w:adjustRightInd w:val="0"/>
        <w:spacing w:before="0" w:line="240" w:lineRule="auto"/>
        <w:ind w:left="426" w:hanging="426"/>
        <w:rPr>
          <w:sz w:val="20"/>
          <w:lang w:eastAsia="id-ID"/>
        </w:rPr>
      </w:pPr>
    </w:p>
    <w:p w:rsidR="00947E8A" w:rsidRPr="00947E8A" w:rsidRDefault="00947E8A" w:rsidP="00176D02">
      <w:pPr>
        <w:tabs>
          <w:tab w:val="left" w:pos="426"/>
        </w:tabs>
        <w:autoSpaceDE w:val="0"/>
        <w:autoSpaceDN w:val="0"/>
        <w:adjustRightInd w:val="0"/>
        <w:spacing w:before="0" w:line="240" w:lineRule="auto"/>
        <w:ind w:left="426" w:hanging="426"/>
        <w:rPr>
          <w:sz w:val="20"/>
          <w:lang w:eastAsia="id-ID"/>
        </w:rPr>
      </w:pPr>
    </w:p>
    <w:p w:rsidR="00176D02" w:rsidRPr="0088412E" w:rsidRDefault="00176D02" w:rsidP="00176D02">
      <w:pPr>
        <w:tabs>
          <w:tab w:val="left" w:pos="426"/>
        </w:tabs>
        <w:autoSpaceDE w:val="0"/>
        <w:autoSpaceDN w:val="0"/>
        <w:adjustRightInd w:val="0"/>
        <w:spacing w:before="0" w:line="240" w:lineRule="auto"/>
        <w:ind w:left="426" w:hanging="426"/>
        <w:rPr>
          <w:sz w:val="20"/>
          <w:lang w:val="id-ID" w:eastAsia="id-ID"/>
        </w:rPr>
      </w:pPr>
    </w:p>
    <w:p w:rsidR="00176D02" w:rsidRPr="00176D02" w:rsidRDefault="00176D02" w:rsidP="00176D02">
      <w:pPr>
        <w:autoSpaceDE w:val="0"/>
        <w:autoSpaceDN w:val="0"/>
        <w:adjustRightInd w:val="0"/>
        <w:spacing w:before="0" w:line="240" w:lineRule="auto"/>
        <w:ind w:firstLine="0"/>
        <w:rPr>
          <w:b/>
          <w:noProof/>
          <w:color w:val="000000"/>
          <w:sz w:val="20"/>
        </w:rPr>
      </w:pPr>
      <w:r>
        <w:rPr>
          <w:b/>
          <w:noProof/>
          <w:color w:val="000000"/>
          <w:sz w:val="20"/>
        </w:rPr>
        <w:t>REFERENCES</w:t>
      </w:r>
    </w:p>
    <w:p w:rsidR="00176D02" w:rsidRPr="0088412E" w:rsidRDefault="00176D02" w:rsidP="00176D02">
      <w:pPr>
        <w:spacing w:before="0" w:line="240" w:lineRule="auto"/>
        <w:ind w:left="720" w:hanging="720"/>
        <w:rPr>
          <w:sz w:val="20"/>
          <w:lang w:val="id-ID"/>
        </w:rPr>
      </w:pPr>
      <w:r w:rsidRPr="0088412E">
        <w:rPr>
          <w:sz w:val="20"/>
        </w:rPr>
        <w:t xml:space="preserve">Azwar, Saifuddin. 2003. </w:t>
      </w:r>
      <w:r w:rsidRPr="0088412E">
        <w:rPr>
          <w:i/>
          <w:iCs/>
          <w:sz w:val="20"/>
        </w:rPr>
        <w:t>ReliabilitasdanValiditas</w:t>
      </w:r>
      <w:r w:rsidRPr="0088412E">
        <w:rPr>
          <w:sz w:val="20"/>
        </w:rPr>
        <w:t xml:space="preserve">. Yogyakarta: PustakaPelajar. </w:t>
      </w:r>
    </w:p>
    <w:p w:rsidR="00176D02" w:rsidRPr="0088412E" w:rsidRDefault="00176D02" w:rsidP="00176D02">
      <w:pPr>
        <w:autoSpaceDE w:val="0"/>
        <w:autoSpaceDN w:val="0"/>
        <w:adjustRightInd w:val="0"/>
        <w:spacing w:before="0" w:line="240" w:lineRule="auto"/>
        <w:ind w:left="720" w:hanging="720"/>
        <w:rPr>
          <w:sz w:val="20"/>
          <w:lang w:val="id-ID" w:eastAsia="id-ID"/>
        </w:rPr>
      </w:pPr>
      <w:r w:rsidRPr="0088412E">
        <w:rPr>
          <w:sz w:val="20"/>
          <w:lang w:eastAsia="id-ID"/>
        </w:rPr>
        <w:t xml:space="preserve">BurhanNurgiyantoro, dkk. (2000). </w:t>
      </w:r>
      <w:r w:rsidRPr="0088412E">
        <w:rPr>
          <w:i/>
          <w:iCs/>
          <w:sz w:val="20"/>
          <w:lang w:eastAsia="id-ID"/>
        </w:rPr>
        <w:t>StatistikaTerapanuntukIlmu – IlmuSosial</w:t>
      </w:r>
      <w:r w:rsidRPr="0088412E">
        <w:rPr>
          <w:sz w:val="20"/>
          <w:lang w:eastAsia="id-ID"/>
        </w:rPr>
        <w:t>. Yogyakarta: GadjahMada University Press.</w:t>
      </w:r>
    </w:p>
    <w:p w:rsidR="00176D02" w:rsidRPr="0088412E" w:rsidRDefault="00176D02" w:rsidP="00176D02">
      <w:pPr>
        <w:spacing w:before="0" w:line="240" w:lineRule="auto"/>
        <w:ind w:firstLine="0"/>
        <w:rPr>
          <w:sz w:val="20"/>
          <w:lang w:val="id-ID"/>
        </w:rPr>
      </w:pPr>
      <w:r w:rsidRPr="0088412E">
        <w:rPr>
          <w:sz w:val="20"/>
        </w:rPr>
        <w:t xml:space="preserve">Daniel, Elizabeth ;Storey, Chris. (1997). </w:t>
      </w:r>
      <w:r w:rsidRPr="0088412E">
        <w:rPr>
          <w:i/>
          <w:sz w:val="20"/>
        </w:rPr>
        <w:t>Strategic and Management Challenges</w:t>
      </w:r>
      <w:r w:rsidRPr="0088412E">
        <w:rPr>
          <w:sz w:val="20"/>
        </w:rPr>
        <w:t>.</w:t>
      </w:r>
    </w:p>
    <w:p w:rsidR="00176D02" w:rsidRPr="0088412E" w:rsidRDefault="00176D02" w:rsidP="00176D02">
      <w:pPr>
        <w:autoSpaceDE w:val="0"/>
        <w:autoSpaceDN w:val="0"/>
        <w:adjustRightInd w:val="0"/>
        <w:spacing w:before="0" w:line="240" w:lineRule="auto"/>
        <w:ind w:left="709" w:hanging="709"/>
        <w:rPr>
          <w:sz w:val="20"/>
          <w:lang w:val="id-ID" w:eastAsia="id-ID"/>
        </w:rPr>
      </w:pPr>
      <w:r w:rsidRPr="0088412E">
        <w:rPr>
          <w:sz w:val="20"/>
        </w:rPr>
        <w:t xml:space="preserve">Gde Dharma Putra, Cokorda. (2011). </w:t>
      </w:r>
      <w:r w:rsidRPr="0088412E">
        <w:rPr>
          <w:i/>
          <w:sz w:val="20"/>
        </w:rPr>
        <w:t>AnalisisKepuasanPelangganpada Perusahaan Daerah AirMinum (PDAM) di KabupatenJembrana</w:t>
      </w:r>
      <w:r w:rsidRPr="0088412E">
        <w:rPr>
          <w:sz w:val="20"/>
        </w:rPr>
        <w:t xml:space="preserve">. </w:t>
      </w:r>
      <w:r w:rsidRPr="0088412E">
        <w:rPr>
          <w:sz w:val="20"/>
          <w:lang w:eastAsia="id-ID"/>
        </w:rPr>
        <w:t>Tesis. Denpasar :UniversitasUndaya Denpasar.</w:t>
      </w:r>
    </w:p>
    <w:p w:rsidR="00176D02" w:rsidRPr="0088412E" w:rsidRDefault="00176D02" w:rsidP="00176D02">
      <w:pPr>
        <w:spacing w:before="0" w:line="240" w:lineRule="auto"/>
        <w:ind w:left="720" w:hanging="720"/>
        <w:rPr>
          <w:sz w:val="20"/>
          <w:lang w:val="id-ID"/>
        </w:rPr>
      </w:pPr>
      <w:r w:rsidRPr="0088412E">
        <w:rPr>
          <w:sz w:val="20"/>
        </w:rPr>
        <w:t xml:space="preserve">Ghosh, Shikhar. (1998). </w:t>
      </w:r>
      <w:r w:rsidRPr="0088412E">
        <w:rPr>
          <w:i/>
          <w:sz w:val="20"/>
        </w:rPr>
        <w:t>Making Business Sense of the Internet.</w:t>
      </w:r>
    </w:p>
    <w:p w:rsidR="00176D02" w:rsidRPr="0088412E" w:rsidRDefault="00176D02" w:rsidP="00176D02">
      <w:pPr>
        <w:autoSpaceDE w:val="0"/>
        <w:autoSpaceDN w:val="0"/>
        <w:adjustRightInd w:val="0"/>
        <w:spacing w:before="0" w:line="240" w:lineRule="auto"/>
        <w:ind w:left="720" w:hanging="720"/>
        <w:rPr>
          <w:sz w:val="20"/>
          <w:lang w:val="id-ID" w:eastAsia="id-ID"/>
        </w:rPr>
      </w:pPr>
      <w:r w:rsidRPr="0088412E">
        <w:rPr>
          <w:bCs/>
          <w:sz w:val="20"/>
          <w:lang w:eastAsia="id-ID"/>
        </w:rPr>
        <w:t>Hamill, J, and Gregory, K,1997</w:t>
      </w:r>
      <w:r w:rsidRPr="0088412E">
        <w:rPr>
          <w:bCs/>
          <w:i/>
          <w:iCs/>
          <w:sz w:val="20"/>
          <w:lang w:eastAsia="id-ID"/>
        </w:rPr>
        <w:t xml:space="preserve">, </w:t>
      </w:r>
      <w:r w:rsidRPr="0088412E">
        <w:rPr>
          <w:i/>
          <w:iCs/>
          <w:sz w:val="20"/>
          <w:lang w:eastAsia="id-ID"/>
        </w:rPr>
        <w:t xml:space="preserve">Internet Marketing in the Internationalization of UK SMEs, </w:t>
      </w:r>
      <w:r w:rsidRPr="0088412E">
        <w:rPr>
          <w:sz w:val="20"/>
          <w:lang w:eastAsia="id-ID"/>
        </w:rPr>
        <w:t>Journal of Marketing Management, Vol 13. pp. 9-28.</w:t>
      </w:r>
    </w:p>
    <w:p w:rsidR="00176D02" w:rsidRPr="0088412E" w:rsidRDefault="00176D02" w:rsidP="00176D02">
      <w:pPr>
        <w:autoSpaceDE w:val="0"/>
        <w:autoSpaceDN w:val="0"/>
        <w:adjustRightInd w:val="0"/>
        <w:spacing w:before="0" w:line="240" w:lineRule="auto"/>
        <w:ind w:left="720" w:hanging="720"/>
        <w:rPr>
          <w:sz w:val="20"/>
          <w:lang w:val="id-ID" w:eastAsia="id-ID"/>
        </w:rPr>
      </w:pPr>
      <w:r w:rsidRPr="0088412E">
        <w:rPr>
          <w:sz w:val="20"/>
          <w:lang w:eastAsia="id-ID"/>
        </w:rPr>
        <w:t xml:space="preserve">Hasan, Iqbal. 2006. </w:t>
      </w:r>
      <w:r w:rsidRPr="0088412E">
        <w:rPr>
          <w:i/>
          <w:iCs/>
          <w:sz w:val="20"/>
          <w:lang w:eastAsia="id-ID"/>
        </w:rPr>
        <w:t>Analisis Data PenelitiandenganStatistik</w:t>
      </w:r>
      <w:r w:rsidRPr="0088412E">
        <w:rPr>
          <w:sz w:val="20"/>
          <w:lang w:eastAsia="id-ID"/>
        </w:rPr>
        <w:t>. Jakarta: BumiAksara</w:t>
      </w:r>
    </w:p>
    <w:p w:rsidR="00176D02" w:rsidRPr="00B84F4C" w:rsidRDefault="00176D02" w:rsidP="00176D02">
      <w:pPr>
        <w:autoSpaceDE w:val="0"/>
        <w:autoSpaceDN w:val="0"/>
        <w:adjustRightInd w:val="0"/>
        <w:spacing w:before="0" w:line="240" w:lineRule="auto"/>
        <w:ind w:left="720" w:hanging="720"/>
        <w:rPr>
          <w:sz w:val="20"/>
          <w:lang w:val="id-ID" w:eastAsia="id-ID"/>
        </w:rPr>
      </w:pPr>
      <w:r w:rsidRPr="00B84F4C">
        <w:rPr>
          <w:sz w:val="20"/>
        </w:rPr>
        <w:t xml:space="preserve">Juniartono. (2013). </w:t>
      </w:r>
      <w:r w:rsidRPr="00B84F4C">
        <w:rPr>
          <w:i/>
          <w:sz w:val="20"/>
        </w:rPr>
        <w:t>Analisis Tingkat kepuasanPelayananKonsumenPenggunaJasaTransportasipada CV. Delta Trans denganMenggunakanMetodeServqual</w:t>
      </w:r>
      <w:r w:rsidRPr="00B84F4C">
        <w:rPr>
          <w:sz w:val="20"/>
        </w:rPr>
        <w:t xml:space="preserve">. </w:t>
      </w:r>
      <w:r w:rsidRPr="00B84F4C">
        <w:rPr>
          <w:sz w:val="20"/>
          <w:lang w:eastAsia="id-ID"/>
        </w:rPr>
        <w:t>PelitaInformatika Budi Darma, Volume : V, Nomor: 2- SSN : 2301-9425.</w:t>
      </w:r>
    </w:p>
    <w:p w:rsidR="00176D02" w:rsidRPr="00B84F4C" w:rsidRDefault="00176D02" w:rsidP="00176D02">
      <w:pPr>
        <w:autoSpaceDE w:val="0"/>
        <w:autoSpaceDN w:val="0"/>
        <w:adjustRightInd w:val="0"/>
        <w:spacing w:before="0" w:line="240" w:lineRule="auto"/>
        <w:ind w:left="720" w:hanging="720"/>
        <w:rPr>
          <w:sz w:val="20"/>
          <w:lang w:val="id-ID"/>
        </w:rPr>
      </w:pPr>
      <w:r w:rsidRPr="00B84F4C">
        <w:rPr>
          <w:sz w:val="20"/>
        </w:rPr>
        <w:t xml:space="preserve">Kalakota Dan Whinston, </w:t>
      </w:r>
      <w:r w:rsidRPr="00B84F4C">
        <w:rPr>
          <w:i/>
          <w:iCs/>
          <w:sz w:val="20"/>
        </w:rPr>
        <w:t>Frontiers Of Electronic Commerce</w:t>
      </w:r>
      <w:r w:rsidRPr="00B84F4C">
        <w:rPr>
          <w:sz w:val="20"/>
        </w:rPr>
        <w:t>, Addison-Wesley Publilshing Company, Inc, Massachusetts, 1996.</w:t>
      </w:r>
    </w:p>
    <w:p w:rsidR="00176D02" w:rsidRPr="00B84F4C" w:rsidRDefault="00176D02" w:rsidP="00176D02">
      <w:pPr>
        <w:autoSpaceDE w:val="0"/>
        <w:autoSpaceDN w:val="0"/>
        <w:adjustRightInd w:val="0"/>
        <w:spacing w:before="0" w:line="240" w:lineRule="auto"/>
        <w:ind w:left="720" w:hanging="720"/>
        <w:rPr>
          <w:sz w:val="20"/>
          <w:lang w:val="id-ID"/>
        </w:rPr>
      </w:pPr>
      <w:r w:rsidRPr="00B84F4C">
        <w:rPr>
          <w:sz w:val="20"/>
        </w:rPr>
        <w:t xml:space="preserve">Khisty&amp;Lall. 2005. </w:t>
      </w:r>
      <w:r w:rsidRPr="00B84F4C">
        <w:rPr>
          <w:i/>
          <w:iCs/>
          <w:sz w:val="20"/>
        </w:rPr>
        <w:t>Dasar-dasarRekayasaTransportasi</w:t>
      </w:r>
      <w:r w:rsidRPr="00B84F4C">
        <w:rPr>
          <w:sz w:val="20"/>
        </w:rPr>
        <w:t>. Jilid II Jakarta: PenerbitErlangga.</w:t>
      </w:r>
    </w:p>
    <w:p w:rsidR="00176D02" w:rsidRPr="00B84F4C" w:rsidRDefault="00176D02" w:rsidP="00176D02">
      <w:pPr>
        <w:autoSpaceDE w:val="0"/>
        <w:autoSpaceDN w:val="0"/>
        <w:adjustRightInd w:val="0"/>
        <w:spacing w:before="0" w:line="240" w:lineRule="auto"/>
        <w:ind w:left="709" w:hanging="709"/>
        <w:rPr>
          <w:sz w:val="20"/>
          <w:lang w:val="id-ID" w:eastAsia="id-ID"/>
        </w:rPr>
      </w:pPr>
      <w:r w:rsidRPr="00B84F4C">
        <w:rPr>
          <w:sz w:val="20"/>
        </w:rPr>
        <w:t xml:space="preserve">Oktaviani. </w:t>
      </w:r>
      <w:r w:rsidRPr="00B84F4C">
        <w:rPr>
          <w:i/>
          <w:sz w:val="20"/>
        </w:rPr>
        <w:t>AnalisisUjiKomparasiSistemOperasipada Android dan Blackberry</w:t>
      </w:r>
      <w:r w:rsidRPr="00B84F4C">
        <w:rPr>
          <w:sz w:val="20"/>
        </w:rPr>
        <w:t>.</w:t>
      </w:r>
      <w:r w:rsidRPr="00B84F4C">
        <w:rPr>
          <w:sz w:val="20"/>
          <w:lang w:eastAsia="id-ID"/>
        </w:rPr>
        <w:t xml:space="preserve"> Paper oktaviani@staff.gunadarma.ac.id.</w:t>
      </w:r>
    </w:p>
    <w:p w:rsidR="00176D02" w:rsidRPr="00B84F4C" w:rsidRDefault="00176D02" w:rsidP="00176D02">
      <w:pPr>
        <w:autoSpaceDE w:val="0"/>
        <w:autoSpaceDN w:val="0"/>
        <w:adjustRightInd w:val="0"/>
        <w:spacing w:before="0" w:line="240" w:lineRule="auto"/>
        <w:ind w:left="720" w:hanging="720"/>
        <w:rPr>
          <w:i/>
          <w:iCs/>
          <w:sz w:val="20"/>
          <w:lang w:val="id-ID" w:eastAsia="id-ID"/>
        </w:rPr>
      </w:pPr>
      <w:r w:rsidRPr="00B84F4C">
        <w:rPr>
          <w:sz w:val="20"/>
          <w:lang w:eastAsia="id-ID"/>
        </w:rPr>
        <w:t>Oodan, Antony ; Ward, Keith ; Savolaine, Catherine ; Daneshmand, Mahmoed and Hoath, Peter (2008).</w:t>
      </w:r>
      <w:r w:rsidRPr="00B84F4C">
        <w:rPr>
          <w:i/>
          <w:iCs/>
          <w:sz w:val="20"/>
          <w:lang w:eastAsia="id-ID"/>
        </w:rPr>
        <w:t>. The Institution of Engineering Telecommunications Quality ofService Management and Technology, London, United Kingdom.</w:t>
      </w:r>
    </w:p>
    <w:p w:rsidR="00176D02" w:rsidRPr="00B84F4C" w:rsidRDefault="00176D02" w:rsidP="00176D02">
      <w:pPr>
        <w:pStyle w:val="Heading1"/>
        <w:spacing w:before="0" w:line="240" w:lineRule="auto"/>
        <w:ind w:left="709" w:hanging="709"/>
        <w:jc w:val="both"/>
        <w:rPr>
          <w:rFonts w:ascii="Times New Roman" w:hAnsi="Times New Roman"/>
          <w:b w:val="0"/>
          <w:sz w:val="20"/>
          <w:szCs w:val="20"/>
          <w:lang w:val="en-US" w:eastAsia="id-ID"/>
        </w:rPr>
      </w:pPr>
      <w:r w:rsidRPr="00B84F4C">
        <w:rPr>
          <w:rFonts w:ascii="Times New Roman" w:hAnsi="Times New Roman"/>
          <w:b w:val="0"/>
          <w:sz w:val="20"/>
          <w:szCs w:val="20"/>
          <w:lang w:eastAsia="id-ID"/>
        </w:rPr>
        <w:t>Parasuraman, A, Valarie A. Zeithaml, and L. Berry (1985). “</w:t>
      </w:r>
      <w:r w:rsidRPr="00B84F4C">
        <w:rPr>
          <w:rFonts w:ascii="Times New Roman" w:hAnsi="Times New Roman"/>
          <w:b w:val="0"/>
          <w:i/>
          <w:sz w:val="20"/>
          <w:szCs w:val="20"/>
          <w:lang w:eastAsia="id-ID"/>
        </w:rPr>
        <w:t>A. Conceptual Model of Service Quality and Its Implications for Future Research</w:t>
      </w:r>
      <w:r w:rsidRPr="00B84F4C">
        <w:rPr>
          <w:rFonts w:ascii="Times New Roman" w:hAnsi="Times New Roman"/>
          <w:b w:val="0"/>
          <w:sz w:val="20"/>
          <w:szCs w:val="20"/>
          <w:lang w:eastAsia="id-ID"/>
        </w:rPr>
        <w:t>”, Journal Marketing, Vol. 49 (Fall), pp. 41-50.</w:t>
      </w:r>
    </w:p>
    <w:p w:rsidR="00176D02" w:rsidRPr="00B84F4C" w:rsidRDefault="00176D02" w:rsidP="00176D02">
      <w:pPr>
        <w:autoSpaceDE w:val="0"/>
        <w:autoSpaceDN w:val="0"/>
        <w:adjustRightInd w:val="0"/>
        <w:spacing w:before="0" w:line="240" w:lineRule="auto"/>
        <w:ind w:firstLine="0"/>
        <w:rPr>
          <w:sz w:val="20"/>
          <w:lang w:val="id-ID"/>
        </w:rPr>
      </w:pPr>
      <w:r w:rsidRPr="00B84F4C">
        <w:rPr>
          <w:sz w:val="20"/>
        </w:rPr>
        <w:t xml:space="preserve">Suyanto, M. 2003. </w:t>
      </w:r>
      <w:r w:rsidRPr="00B84F4C">
        <w:rPr>
          <w:i/>
          <w:iCs/>
          <w:sz w:val="20"/>
        </w:rPr>
        <w:t>E – commerce Perusahaan Top Dunia</w:t>
      </w:r>
      <w:r w:rsidRPr="00B84F4C">
        <w:rPr>
          <w:sz w:val="20"/>
        </w:rPr>
        <w:t xml:space="preserve">. Andi. Yogyakarta. </w:t>
      </w:r>
    </w:p>
    <w:p w:rsidR="00176D02" w:rsidRPr="00B84F4C" w:rsidRDefault="00176D02" w:rsidP="00176D02">
      <w:pPr>
        <w:autoSpaceDE w:val="0"/>
        <w:autoSpaceDN w:val="0"/>
        <w:adjustRightInd w:val="0"/>
        <w:spacing w:before="0" w:line="240" w:lineRule="auto"/>
        <w:ind w:left="709" w:hanging="709"/>
        <w:rPr>
          <w:sz w:val="20"/>
          <w:lang w:val="id-ID" w:eastAsia="id-ID"/>
        </w:rPr>
      </w:pPr>
      <w:r w:rsidRPr="00B84F4C">
        <w:rPr>
          <w:sz w:val="20"/>
        </w:rPr>
        <w:t xml:space="preserve">Syarif, MS. (2014). </w:t>
      </w:r>
      <w:r w:rsidRPr="00B84F4C">
        <w:rPr>
          <w:i/>
          <w:sz w:val="20"/>
        </w:rPr>
        <w:t>AnalisisPengaruhKepuasanPelangganBuswayTerhadapAdopsiInovasiSistimTiket Tunggal Elektronik Smart Card UntukMendukungIntegrasiModaTransportasiMassal di Jakarta</w:t>
      </w:r>
      <w:r w:rsidRPr="00B84F4C">
        <w:rPr>
          <w:sz w:val="20"/>
        </w:rPr>
        <w:t xml:space="preserve">. </w:t>
      </w:r>
      <w:r w:rsidRPr="00B84F4C">
        <w:rPr>
          <w:sz w:val="20"/>
          <w:lang w:eastAsia="id-ID"/>
        </w:rPr>
        <w:t>IncomTech, Jurnal Telekomunikasi danKomputer, Vol 5, No. 3.</w:t>
      </w:r>
    </w:p>
    <w:p w:rsidR="00176D02" w:rsidRPr="00B84F4C" w:rsidRDefault="00176D02" w:rsidP="00176D02">
      <w:pPr>
        <w:spacing w:before="0" w:line="240" w:lineRule="auto"/>
        <w:ind w:left="720" w:hanging="720"/>
        <w:rPr>
          <w:bCs/>
          <w:sz w:val="20"/>
          <w:lang w:eastAsia="id-ID"/>
        </w:rPr>
      </w:pPr>
      <w:r w:rsidRPr="00B84F4C">
        <w:rPr>
          <w:sz w:val="20"/>
          <w:lang w:eastAsia="id-ID"/>
        </w:rPr>
        <w:t xml:space="preserve">Wendha, A.A AyuAtikaParamitha ;Rahyuda, I Ketut ; Suasana I. Gst. A. Kt. G. (2013). </w:t>
      </w:r>
      <w:r w:rsidRPr="00B84F4C">
        <w:rPr>
          <w:i/>
          <w:sz w:val="20"/>
          <w:lang w:eastAsia="id-ID"/>
        </w:rPr>
        <w:t xml:space="preserve">PengaruhKualitasLayananTerhadapKepuasandanLoyalitasPelanggan Garuda Indonesia di Denpasar.  </w:t>
      </w:r>
      <w:r w:rsidRPr="00B84F4C">
        <w:rPr>
          <w:iCs/>
          <w:sz w:val="20"/>
          <w:lang w:eastAsia="id-ID"/>
        </w:rPr>
        <w:t xml:space="preserve">JurnalManajemen, StrategiBisnis, danKewirausahaan Vol. 7, No. </w:t>
      </w:r>
      <w:r w:rsidRPr="00B84F4C">
        <w:rPr>
          <w:bCs/>
          <w:sz w:val="20"/>
          <w:lang w:eastAsia="id-ID"/>
        </w:rPr>
        <w:t>20.</w:t>
      </w:r>
    </w:p>
    <w:p w:rsidR="00176D02" w:rsidRPr="00B84F4C" w:rsidRDefault="00176D02" w:rsidP="00176D02">
      <w:pPr>
        <w:spacing w:before="0" w:line="240" w:lineRule="auto"/>
        <w:ind w:left="709" w:hanging="709"/>
        <w:rPr>
          <w:sz w:val="20"/>
          <w:lang w:val="id-ID"/>
        </w:rPr>
      </w:pPr>
      <w:r w:rsidRPr="00B84F4C">
        <w:rPr>
          <w:sz w:val="20"/>
        </w:rPr>
        <w:t xml:space="preserve">Wibowo, Tri. (2015). </w:t>
      </w:r>
      <w:r w:rsidRPr="00B84F4C">
        <w:rPr>
          <w:i/>
          <w:sz w:val="20"/>
        </w:rPr>
        <w:t>PengaruhKualitasPelayananTerhadapKepuasanKonsumenpada PT. JNE</w:t>
      </w:r>
      <w:r w:rsidRPr="00B84F4C">
        <w:rPr>
          <w:sz w:val="20"/>
        </w:rPr>
        <w:t xml:space="preserve">. </w:t>
      </w:r>
      <w:r w:rsidRPr="00B84F4C">
        <w:rPr>
          <w:sz w:val="20"/>
          <w:lang w:eastAsia="id-ID"/>
        </w:rPr>
        <w:t>Skripsi. Surakarta :UniversitasMuhammadiyah Surakarta.</w:t>
      </w:r>
    </w:p>
    <w:p w:rsidR="00176D02" w:rsidRPr="00B84F4C" w:rsidRDefault="00176D02" w:rsidP="00176D02">
      <w:pPr>
        <w:autoSpaceDE w:val="0"/>
        <w:autoSpaceDN w:val="0"/>
        <w:adjustRightInd w:val="0"/>
        <w:spacing w:before="0" w:line="240" w:lineRule="auto"/>
        <w:ind w:left="709" w:hanging="709"/>
        <w:rPr>
          <w:sz w:val="20"/>
          <w:lang w:eastAsia="id-ID"/>
        </w:rPr>
      </w:pPr>
      <w:r w:rsidRPr="00B84F4C">
        <w:rPr>
          <w:sz w:val="20"/>
          <w:lang w:eastAsia="id-ID"/>
        </w:rPr>
        <w:t xml:space="preserve">Zeithamldan Berry (1995) dan Cronin dan Taylor (1994). </w:t>
      </w:r>
      <w:r w:rsidRPr="00B84F4C">
        <w:rPr>
          <w:i/>
          <w:iCs/>
          <w:sz w:val="20"/>
          <w:lang w:eastAsia="id-ID"/>
        </w:rPr>
        <w:t xml:space="preserve">”Service Quality, Jurnal Marketing American Association”, </w:t>
      </w:r>
      <w:r w:rsidRPr="00B84F4C">
        <w:rPr>
          <w:sz w:val="20"/>
          <w:lang w:eastAsia="id-ID"/>
        </w:rPr>
        <w:t>DiterjemahkanolehParasuraman.</w:t>
      </w:r>
    </w:p>
    <w:p w:rsidR="00176D02" w:rsidRPr="00B84F4C" w:rsidRDefault="00176D02" w:rsidP="00176D02">
      <w:pPr>
        <w:pStyle w:val="Heading1"/>
        <w:tabs>
          <w:tab w:val="left" w:pos="709"/>
        </w:tabs>
        <w:spacing w:before="0" w:line="240" w:lineRule="auto"/>
        <w:ind w:left="709" w:hanging="709"/>
        <w:jc w:val="both"/>
        <w:rPr>
          <w:rFonts w:ascii="Times New Roman" w:hAnsi="Times New Roman"/>
          <w:b w:val="0"/>
          <w:sz w:val="20"/>
          <w:szCs w:val="20"/>
          <w:lang w:val="id-ID" w:eastAsia="id-ID"/>
        </w:rPr>
      </w:pPr>
      <w:r w:rsidRPr="00B84F4C">
        <w:rPr>
          <w:rFonts w:ascii="Times New Roman" w:hAnsi="Times New Roman"/>
          <w:b w:val="0"/>
          <w:sz w:val="20"/>
          <w:szCs w:val="20"/>
          <w:lang w:eastAsia="id-ID"/>
        </w:rPr>
        <w:t xml:space="preserve">Zeithaml, Valerie, A., and Bitner, Mary Jo, 1996, </w:t>
      </w:r>
      <w:r w:rsidRPr="00B84F4C">
        <w:rPr>
          <w:rFonts w:ascii="Times New Roman" w:hAnsi="Times New Roman"/>
          <w:b w:val="0"/>
          <w:i/>
          <w:sz w:val="20"/>
          <w:szCs w:val="20"/>
          <w:lang w:eastAsia="id-ID"/>
        </w:rPr>
        <w:t xml:space="preserve">Service Marketing, </w:t>
      </w:r>
      <w:r w:rsidRPr="00B84F4C">
        <w:rPr>
          <w:rFonts w:ascii="Times New Roman" w:hAnsi="Times New Roman"/>
          <w:b w:val="0"/>
          <w:sz w:val="20"/>
          <w:szCs w:val="20"/>
          <w:lang w:eastAsia="id-ID"/>
        </w:rPr>
        <w:t>Singapore : McGrow Hill.</w:t>
      </w:r>
    </w:p>
    <w:p w:rsidR="00176D02" w:rsidRPr="00B84F4C" w:rsidRDefault="00176D02" w:rsidP="00176D02">
      <w:pPr>
        <w:autoSpaceDE w:val="0"/>
        <w:autoSpaceDN w:val="0"/>
        <w:adjustRightInd w:val="0"/>
        <w:spacing w:before="0" w:line="240" w:lineRule="auto"/>
        <w:ind w:left="851" w:hanging="851"/>
        <w:rPr>
          <w:sz w:val="20"/>
          <w:lang w:val="id-ID"/>
        </w:rPr>
      </w:pPr>
    </w:p>
    <w:p w:rsidR="000D181B" w:rsidRDefault="000D181B"/>
    <w:sectPr w:rsidR="000D181B" w:rsidSect="000D1483">
      <w:headerReference w:type="even" r:id="rId17"/>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AA3" w:rsidRDefault="00014AA3">
      <w:pPr>
        <w:spacing w:before="0" w:line="240" w:lineRule="auto"/>
      </w:pPr>
      <w:r>
        <w:separator/>
      </w:r>
    </w:p>
  </w:endnote>
  <w:endnote w:type="continuationSeparator" w:id="1">
    <w:p w:rsidR="00014AA3" w:rsidRDefault="00014AA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E7" w:rsidRDefault="00117630" w:rsidP="000D1CE7">
    <w:pPr>
      <w:pStyle w:val="Footer"/>
      <w:pBdr>
        <w:top w:val="single" w:sz="4" w:space="1" w:color="auto"/>
      </w:pBdr>
      <w:jc w:val="right"/>
    </w:pPr>
    <w:r>
      <w:t>Pascasarjana Universitas BINA DARMA</w:t>
    </w:r>
  </w:p>
  <w:p w:rsidR="000D1483" w:rsidRDefault="00014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E7" w:rsidRDefault="00014AA3" w:rsidP="000D1CE7">
    <w:pPr>
      <w:pStyle w:val="Footer"/>
      <w:pBdr>
        <w:top w:val="single" w:sz="4" w:space="1" w:color="auto"/>
      </w:pBdr>
    </w:pPr>
  </w:p>
  <w:p w:rsidR="000D1483" w:rsidRDefault="00014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AA3" w:rsidRDefault="00014AA3">
      <w:pPr>
        <w:spacing w:before="0" w:line="240" w:lineRule="auto"/>
      </w:pPr>
      <w:r>
        <w:separator/>
      </w:r>
    </w:p>
  </w:footnote>
  <w:footnote w:type="continuationSeparator" w:id="1">
    <w:p w:rsidR="00014AA3" w:rsidRDefault="00014AA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83" w:rsidRPr="009814ED" w:rsidRDefault="00117630" w:rsidP="000D1483">
    <w:pPr>
      <w:pStyle w:val="Header"/>
      <w:pBdr>
        <w:bottom w:val="single" w:sz="4" w:space="1" w:color="auto"/>
      </w:pBdr>
      <w:jc w:val="right"/>
      <w:rPr>
        <w:lang w:val="en-US"/>
      </w:rPr>
    </w:pPr>
    <w:r>
      <w:t>Cindi Wulandari</w:t>
    </w:r>
    <w:r>
      <w:rPr>
        <w:lang w:val="en-US"/>
      </w:rPr>
      <w:t>(1</w:t>
    </w:r>
    <w:r>
      <w:t>52420006</w:t>
    </w:r>
    <w:r>
      <w:rPr>
        <w:lang w:val="en-US"/>
      </w:rPr>
      <w:t>)</w:t>
    </w:r>
  </w:p>
  <w:p w:rsidR="000D1483" w:rsidRDefault="00014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83" w:rsidRPr="004D1FAA" w:rsidRDefault="00014AA3" w:rsidP="000D1483">
    <w:pPr>
      <w:pStyle w:val="Header"/>
      <w:pBdr>
        <w:bottom w:val="single" w:sz="4" w:space="1" w:color="auto"/>
      </w:pBd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6D43"/>
    <w:multiLevelType w:val="hybridMultilevel"/>
    <w:tmpl w:val="D86E7C3A"/>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76D02"/>
    <w:rsid w:val="00014AA3"/>
    <w:rsid w:val="00066FA4"/>
    <w:rsid w:val="000D181B"/>
    <w:rsid w:val="00117630"/>
    <w:rsid w:val="00130990"/>
    <w:rsid w:val="001437F3"/>
    <w:rsid w:val="00145D57"/>
    <w:rsid w:val="00176D02"/>
    <w:rsid w:val="00246D48"/>
    <w:rsid w:val="00266F50"/>
    <w:rsid w:val="002779AB"/>
    <w:rsid w:val="00286907"/>
    <w:rsid w:val="00287B1D"/>
    <w:rsid w:val="002C3D22"/>
    <w:rsid w:val="002F0EC3"/>
    <w:rsid w:val="0033169D"/>
    <w:rsid w:val="0033706F"/>
    <w:rsid w:val="00344C60"/>
    <w:rsid w:val="00345FDA"/>
    <w:rsid w:val="00480E23"/>
    <w:rsid w:val="00637CA0"/>
    <w:rsid w:val="006863A2"/>
    <w:rsid w:val="007C39D6"/>
    <w:rsid w:val="008408A1"/>
    <w:rsid w:val="00847241"/>
    <w:rsid w:val="008A1978"/>
    <w:rsid w:val="008A2867"/>
    <w:rsid w:val="00901872"/>
    <w:rsid w:val="00904636"/>
    <w:rsid w:val="00947E8A"/>
    <w:rsid w:val="0096784B"/>
    <w:rsid w:val="00987A58"/>
    <w:rsid w:val="00995117"/>
    <w:rsid w:val="009D3294"/>
    <w:rsid w:val="00B25D75"/>
    <w:rsid w:val="00B52CB9"/>
    <w:rsid w:val="00B8588E"/>
    <w:rsid w:val="00C71093"/>
    <w:rsid w:val="00CE0AB6"/>
    <w:rsid w:val="00D40EA9"/>
    <w:rsid w:val="00ED6EEC"/>
    <w:rsid w:val="00F03F5E"/>
    <w:rsid w:val="00F74D60"/>
    <w:rsid w:val="00F750EE"/>
    <w:rsid w:val="00FE3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02"/>
    <w:pPr>
      <w:spacing w:before="80" w:line="300" w:lineRule="atLeast"/>
      <w:ind w:firstLine="567"/>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176D02"/>
    <w:pPr>
      <w:keepNext/>
      <w:spacing w:before="240" w:after="60" w:line="276" w:lineRule="auto"/>
      <w:ind w:firstLine="0"/>
      <w:jc w:val="left"/>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D02"/>
    <w:rPr>
      <w:rFonts w:ascii="Cambria" w:eastAsia="Times New Roman" w:hAnsi="Cambria" w:cs="Times New Roman"/>
      <w:b/>
      <w:bCs/>
      <w:kern w:val="32"/>
      <w:sz w:val="32"/>
      <w:szCs w:val="32"/>
      <w:lang/>
    </w:rPr>
  </w:style>
  <w:style w:type="paragraph" w:styleId="Header">
    <w:name w:val="header"/>
    <w:basedOn w:val="Normal"/>
    <w:link w:val="HeaderChar"/>
    <w:uiPriority w:val="99"/>
    <w:unhideWhenUsed/>
    <w:rsid w:val="00176D02"/>
    <w:pPr>
      <w:tabs>
        <w:tab w:val="center" w:pos="4513"/>
        <w:tab w:val="right" w:pos="9026"/>
      </w:tabs>
      <w:spacing w:before="0" w:line="240" w:lineRule="auto"/>
      <w:ind w:firstLine="0"/>
      <w:jc w:val="left"/>
    </w:pPr>
    <w:rPr>
      <w:rFonts w:ascii="Calibri" w:eastAsia="Calibri" w:hAnsi="Calibri"/>
      <w:szCs w:val="22"/>
      <w:lang w:val="id-ID"/>
    </w:rPr>
  </w:style>
  <w:style w:type="character" w:customStyle="1" w:styleId="HeaderChar">
    <w:name w:val="Header Char"/>
    <w:basedOn w:val="DefaultParagraphFont"/>
    <w:link w:val="Header"/>
    <w:uiPriority w:val="99"/>
    <w:rsid w:val="00176D02"/>
    <w:rPr>
      <w:rFonts w:ascii="Calibri" w:eastAsia="Calibri" w:hAnsi="Calibri" w:cs="Times New Roman"/>
      <w:lang w:val="id-ID"/>
    </w:rPr>
  </w:style>
  <w:style w:type="paragraph" w:styleId="Footer">
    <w:name w:val="footer"/>
    <w:basedOn w:val="Normal"/>
    <w:link w:val="FooterChar"/>
    <w:uiPriority w:val="99"/>
    <w:unhideWhenUsed/>
    <w:rsid w:val="00176D02"/>
    <w:pPr>
      <w:tabs>
        <w:tab w:val="center" w:pos="4513"/>
        <w:tab w:val="right" w:pos="9026"/>
      </w:tabs>
      <w:spacing w:before="0" w:line="240" w:lineRule="auto"/>
      <w:ind w:firstLine="0"/>
      <w:jc w:val="left"/>
    </w:pPr>
    <w:rPr>
      <w:rFonts w:ascii="Calibri" w:eastAsia="Calibri" w:hAnsi="Calibri"/>
      <w:szCs w:val="22"/>
      <w:lang w:val="id-ID"/>
    </w:rPr>
  </w:style>
  <w:style w:type="character" w:customStyle="1" w:styleId="FooterChar">
    <w:name w:val="Footer Char"/>
    <w:basedOn w:val="DefaultParagraphFont"/>
    <w:link w:val="Footer"/>
    <w:uiPriority w:val="99"/>
    <w:rsid w:val="00176D02"/>
    <w:rPr>
      <w:rFonts w:ascii="Calibri" w:eastAsia="Calibri" w:hAnsi="Calibri" w:cs="Times New Roman"/>
      <w:lang w:val="id-ID"/>
    </w:rPr>
  </w:style>
  <w:style w:type="paragraph" w:styleId="ListParagraph">
    <w:name w:val="List Paragraph"/>
    <w:basedOn w:val="Normal"/>
    <w:uiPriority w:val="34"/>
    <w:qFormat/>
    <w:rsid w:val="00176D02"/>
    <w:pPr>
      <w:ind w:left="720"/>
      <w:contextualSpacing/>
    </w:pPr>
  </w:style>
  <w:style w:type="paragraph" w:styleId="BalloonText">
    <w:name w:val="Balloon Text"/>
    <w:basedOn w:val="Normal"/>
    <w:link w:val="BalloonTextChar"/>
    <w:uiPriority w:val="99"/>
    <w:semiHidden/>
    <w:unhideWhenUsed/>
    <w:rsid w:val="00176D0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D02"/>
    <w:rPr>
      <w:rFonts w:ascii="Tahoma" w:eastAsia="Times New Roman" w:hAnsi="Tahoma" w:cs="Tahoma"/>
      <w:sz w:val="16"/>
      <w:szCs w:val="16"/>
    </w:rPr>
  </w:style>
  <w:style w:type="character" w:customStyle="1" w:styleId="mceitemhidden">
    <w:name w:val="mceitemhidden"/>
    <w:basedOn w:val="DefaultParagraphFont"/>
    <w:rsid w:val="00F750EE"/>
  </w:style>
  <w:style w:type="character" w:customStyle="1" w:styleId="hiddenspellerror">
    <w:name w:val="hiddenspellerror"/>
    <w:basedOn w:val="DefaultParagraphFont"/>
    <w:rsid w:val="00F750EE"/>
  </w:style>
  <w:style w:type="character" w:customStyle="1" w:styleId="hiddengrammarerror">
    <w:name w:val="hiddengrammarerror"/>
    <w:basedOn w:val="DefaultParagraphFont"/>
    <w:rsid w:val="00CE0AB6"/>
  </w:style>
  <w:style w:type="character" w:styleId="Hyperlink">
    <w:name w:val="Hyperlink"/>
    <w:basedOn w:val="DefaultParagraphFont"/>
    <w:uiPriority w:val="99"/>
    <w:unhideWhenUsed/>
    <w:rsid w:val="00F74D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nyansyah@gmail.com"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11.vsd"/><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NEISYA</dc:creator>
  <cp:lastModifiedBy>Toshiba</cp:lastModifiedBy>
  <cp:revision>2</cp:revision>
  <dcterms:created xsi:type="dcterms:W3CDTF">2019-10-30T13:06:00Z</dcterms:created>
  <dcterms:modified xsi:type="dcterms:W3CDTF">2019-10-30T13:06:00Z</dcterms:modified>
</cp:coreProperties>
</file>