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9C2" w:rsidRPr="005B6544" w:rsidRDefault="00E849C2" w:rsidP="00E849C2">
      <w:pPr>
        <w:contextualSpacing/>
        <w:jc w:val="center"/>
        <w:rPr>
          <w:b/>
          <w:szCs w:val="24"/>
        </w:rPr>
      </w:pPr>
      <w:bookmarkStart w:id="0" w:name="_GoBack"/>
      <w:bookmarkEnd w:id="0"/>
      <w:r>
        <w:rPr>
          <w:b/>
          <w:szCs w:val="24"/>
        </w:rPr>
        <w:t>PENGARUH PENERAPAN PERATURAN BANK INDONESIA NO. 13/1/PBI/2011 TERHADAP NILAI PERUSAHAAN</w:t>
      </w:r>
    </w:p>
    <w:p w:rsidR="007E0174" w:rsidRPr="007E0174" w:rsidRDefault="007E0174" w:rsidP="00BC277E">
      <w:pPr>
        <w:spacing w:line="360" w:lineRule="auto"/>
        <w:jc w:val="center"/>
        <w:rPr>
          <w:b/>
          <w:sz w:val="12"/>
        </w:rPr>
      </w:pPr>
    </w:p>
    <w:p w:rsidR="00BC277E" w:rsidRDefault="00E849C2" w:rsidP="00BC277E">
      <w:pPr>
        <w:jc w:val="center"/>
        <w:rPr>
          <w:b/>
          <w:sz w:val="20"/>
          <w:vertAlign w:val="superscript"/>
        </w:rPr>
      </w:pPr>
      <w:r>
        <w:rPr>
          <w:b/>
          <w:sz w:val="20"/>
        </w:rPr>
        <w:t>Zainal Heripin</w:t>
      </w:r>
      <w:r w:rsidR="00BC277E" w:rsidRPr="00BA554D">
        <w:rPr>
          <w:b/>
          <w:sz w:val="20"/>
          <w:vertAlign w:val="superscript"/>
        </w:rPr>
        <w:t>1</w:t>
      </w:r>
      <w:r w:rsidR="00BC277E" w:rsidRPr="00BA554D">
        <w:rPr>
          <w:b/>
          <w:sz w:val="20"/>
        </w:rPr>
        <w:t xml:space="preserve">, </w:t>
      </w:r>
      <w:r>
        <w:rPr>
          <w:b/>
          <w:sz w:val="20"/>
        </w:rPr>
        <w:t>Poppy Indriani</w:t>
      </w:r>
      <w:r w:rsidR="00BC277E" w:rsidRPr="00BA554D">
        <w:rPr>
          <w:b/>
          <w:sz w:val="20"/>
          <w:vertAlign w:val="superscript"/>
        </w:rPr>
        <w:t>2</w:t>
      </w:r>
      <w:r w:rsidR="00BC277E" w:rsidRPr="00BA554D">
        <w:rPr>
          <w:b/>
          <w:sz w:val="20"/>
        </w:rPr>
        <w:t xml:space="preserve">, </w:t>
      </w:r>
      <w:r>
        <w:rPr>
          <w:b/>
          <w:sz w:val="20"/>
        </w:rPr>
        <w:t>Andrian Noviardy</w:t>
      </w:r>
      <w:r w:rsidR="00BC277E" w:rsidRPr="00BA554D">
        <w:rPr>
          <w:b/>
          <w:sz w:val="20"/>
          <w:vertAlign w:val="superscript"/>
        </w:rPr>
        <w:t>3</w:t>
      </w:r>
    </w:p>
    <w:p w:rsidR="00BC277E" w:rsidRPr="007E0174" w:rsidRDefault="00BC277E" w:rsidP="00BC277E">
      <w:pPr>
        <w:jc w:val="center"/>
        <w:rPr>
          <w:b/>
          <w:sz w:val="20"/>
          <w:vertAlign w:val="superscript"/>
        </w:rPr>
      </w:pPr>
    </w:p>
    <w:p w:rsidR="00BC277E" w:rsidRPr="00DD515C" w:rsidRDefault="00BC277E" w:rsidP="00BC277E">
      <w:pPr>
        <w:jc w:val="center"/>
        <w:rPr>
          <w:b/>
          <w:sz w:val="2"/>
          <w:vertAlign w:val="superscript"/>
        </w:rPr>
      </w:pPr>
    </w:p>
    <w:p w:rsidR="00BC277E" w:rsidRDefault="00BC277E" w:rsidP="00BC277E">
      <w:pPr>
        <w:spacing w:after="60"/>
        <w:jc w:val="center"/>
        <w:rPr>
          <w:sz w:val="20"/>
        </w:rPr>
      </w:pPr>
      <w:r w:rsidRPr="001C3349">
        <w:rPr>
          <w:sz w:val="20"/>
        </w:rPr>
        <w:t xml:space="preserve">Fakultas Ekonomi dan Bisnis, Universitas Bina Darma </w:t>
      </w:r>
    </w:p>
    <w:p w:rsidR="00BC277E" w:rsidRDefault="00926C60" w:rsidP="00BC277E">
      <w:pPr>
        <w:spacing w:after="60"/>
        <w:jc w:val="center"/>
        <w:rPr>
          <w:sz w:val="20"/>
          <w:u w:val="single"/>
        </w:rPr>
      </w:pPr>
      <w:hyperlink r:id="rId9" w:history="1">
        <w:r w:rsidR="00E849C2" w:rsidRPr="00DF087B">
          <w:rPr>
            <w:rStyle w:val="Hyperlink"/>
            <w:sz w:val="20"/>
          </w:rPr>
          <w:t>zainalheripin@gmail.com</w:t>
        </w:r>
      </w:hyperlink>
      <w:r w:rsidR="00BC277E" w:rsidRPr="00BC277E">
        <w:rPr>
          <w:rStyle w:val="Hyperlink"/>
          <w:color w:val="auto"/>
          <w:sz w:val="20"/>
          <w:vertAlign w:val="superscript"/>
        </w:rPr>
        <w:t>1</w:t>
      </w:r>
      <w:r w:rsidR="00BC277E">
        <w:rPr>
          <w:rStyle w:val="Hyperlink"/>
          <w:sz w:val="20"/>
        </w:rPr>
        <w:t>,</w:t>
      </w:r>
      <w:hyperlink r:id="rId10" w:history="1">
        <w:r w:rsidR="00E849C2" w:rsidRPr="00DF087B">
          <w:rPr>
            <w:rStyle w:val="Hyperlink"/>
            <w:sz w:val="20"/>
          </w:rPr>
          <w:t>poppy.indriani@binadarma.ac.id</w:t>
        </w:r>
        <w:r w:rsidR="00E849C2" w:rsidRPr="00DF087B">
          <w:rPr>
            <w:rStyle w:val="Hyperlink"/>
            <w:sz w:val="20"/>
            <w:vertAlign w:val="superscript"/>
          </w:rPr>
          <w:t>2</w:t>
        </w:r>
      </w:hyperlink>
      <w:r w:rsidR="00BC277E">
        <w:rPr>
          <w:rStyle w:val="Hyperlink"/>
          <w:sz w:val="20"/>
        </w:rPr>
        <w:t xml:space="preserve">, </w:t>
      </w:r>
      <w:hyperlink r:id="rId11" w:history="1">
        <w:r w:rsidR="00E849C2" w:rsidRPr="00DF087B">
          <w:rPr>
            <w:rStyle w:val="Hyperlink"/>
            <w:sz w:val="20"/>
          </w:rPr>
          <w:t>andrian.noviardy@binadarma.ac.id</w:t>
        </w:r>
        <w:r w:rsidR="00E849C2" w:rsidRPr="00DF087B">
          <w:rPr>
            <w:rStyle w:val="Hyperlink"/>
            <w:sz w:val="20"/>
            <w:vertAlign w:val="superscript"/>
          </w:rPr>
          <w:t>3</w:t>
        </w:r>
      </w:hyperlink>
    </w:p>
    <w:p w:rsidR="00BC277E" w:rsidRPr="00DD515C" w:rsidRDefault="00BC277E" w:rsidP="00BC277E">
      <w:pPr>
        <w:spacing w:after="60"/>
        <w:jc w:val="center"/>
        <w:rPr>
          <w:sz w:val="8"/>
          <w:u w:val="single"/>
        </w:rPr>
      </w:pPr>
    </w:p>
    <w:p w:rsidR="00BC277E" w:rsidRPr="00130024" w:rsidRDefault="00BC277E" w:rsidP="00BC277E">
      <w:pPr>
        <w:jc w:val="center"/>
        <w:rPr>
          <w:b/>
          <w:i/>
          <w:sz w:val="4"/>
        </w:rPr>
      </w:pPr>
    </w:p>
    <w:p w:rsidR="00BC277E" w:rsidRPr="007E0174" w:rsidRDefault="00BC277E" w:rsidP="00BC277E">
      <w:pPr>
        <w:jc w:val="center"/>
        <w:rPr>
          <w:b/>
          <w:i/>
          <w:sz w:val="22"/>
          <w:szCs w:val="22"/>
        </w:rPr>
      </w:pPr>
      <w:r w:rsidRPr="007E0174">
        <w:rPr>
          <w:b/>
          <w:i/>
          <w:sz w:val="22"/>
          <w:szCs w:val="22"/>
        </w:rPr>
        <w:t>Abstract</w:t>
      </w:r>
    </w:p>
    <w:p w:rsidR="00BA1ADD" w:rsidRDefault="00E849C2" w:rsidP="00BA1ADD">
      <w:pPr>
        <w:pStyle w:val="NormalWeb"/>
        <w:spacing w:before="0" w:beforeAutospacing="0" w:after="0" w:afterAutospacing="0"/>
        <w:jc w:val="both"/>
        <w:rPr>
          <w:i/>
          <w:sz w:val="10"/>
          <w:szCs w:val="10"/>
          <w:lang w:val="en-US"/>
        </w:rPr>
      </w:pPr>
      <w:r w:rsidRPr="00BA1ADD">
        <w:rPr>
          <w:i/>
          <w:sz w:val="22"/>
          <w:szCs w:val="22"/>
        </w:rPr>
        <w:t>The purpose of this research is to evaluate the impact of tje rules at Bank Indonesia which consist of credit risk, market risk, liquidity risk, good corporate governance</w:t>
      </w:r>
      <w:r w:rsidRPr="00BA1ADD">
        <w:rPr>
          <w:i/>
          <w:sz w:val="22"/>
          <w:szCs w:val="22"/>
          <w:lang w:val="en-US"/>
        </w:rPr>
        <w:t>, earning and capital</w:t>
      </w:r>
      <w:r w:rsidRPr="00BA1ADD">
        <w:rPr>
          <w:i/>
          <w:sz w:val="22"/>
          <w:szCs w:val="22"/>
        </w:rPr>
        <w:t xml:space="preserve"> toward the value of company. This research use purposive sampling method in choosing sample and obtained 23 companies which become the object of research in a year. Data analysis technique which use is a double linier regression. Variable of NPL and NIM have a significant impact toward value of company, mea</w:t>
      </w:r>
      <w:r w:rsidR="00BA1ADD">
        <w:rPr>
          <w:i/>
          <w:sz w:val="22"/>
          <w:szCs w:val="22"/>
        </w:rPr>
        <w:t>nwhile PDN, LDR, KMI, KKI, KTA,</w:t>
      </w:r>
      <w:r w:rsidR="00BA1ADD">
        <w:rPr>
          <w:i/>
          <w:sz w:val="22"/>
          <w:szCs w:val="22"/>
          <w:lang w:val="en-US"/>
        </w:rPr>
        <w:t xml:space="preserve"> </w:t>
      </w:r>
      <w:r w:rsidRPr="00BA1ADD">
        <w:rPr>
          <w:i/>
          <w:sz w:val="22"/>
          <w:szCs w:val="22"/>
        </w:rPr>
        <w:t>CAR don't have any significant positive impact toward value of company.</w:t>
      </w:r>
    </w:p>
    <w:p w:rsidR="00BA1ADD" w:rsidRPr="00BA1ADD" w:rsidRDefault="00BA1ADD" w:rsidP="00BA1ADD">
      <w:pPr>
        <w:pStyle w:val="NormalWeb"/>
        <w:spacing w:before="0" w:beforeAutospacing="0" w:after="0" w:afterAutospacing="0"/>
        <w:jc w:val="both"/>
        <w:rPr>
          <w:i/>
          <w:sz w:val="10"/>
          <w:szCs w:val="10"/>
          <w:lang w:val="en-US"/>
        </w:rPr>
      </w:pPr>
    </w:p>
    <w:p w:rsidR="00F51824" w:rsidRPr="00BA1ADD" w:rsidRDefault="00E849C2" w:rsidP="00BA1ADD">
      <w:pPr>
        <w:pStyle w:val="NormalWeb"/>
        <w:spacing w:before="0" w:beforeAutospacing="0"/>
        <w:jc w:val="both"/>
        <w:rPr>
          <w:i/>
          <w:sz w:val="22"/>
          <w:szCs w:val="22"/>
          <w:lang w:val="en-US"/>
        </w:rPr>
      </w:pPr>
      <w:r w:rsidRPr="00BA1ADD">
        <w:rPr>
          <w:b/>
          <w:i/>
          <w:sz w:val="22"/>
          <w:szCs w:val="22"/>
        </w:rPr>
        <w:t>Keywords</w:t>
      </w:r>
      <w:r w:rsidRPr="00BA1ADD">
        <w:rPr>
          <w:i/>
          <w:sz w:val="22"/>
          <w:szCs w:val="22"/>
        </w:rPr>
        <w:t xml:space="preserve">: NPL, PDN, LDR, KMI, KKI, KTA, NIM, CAR and </w:t>
      </w:r>
      <w:r w:rsidRPr="00BA1ADD">
        <w:rPr>
          <w:i/>
          <w:sz w:val="22"/>
          <w:szCs w:val="22"/>
          <w:lang w:val="en-US"/>
        </w:rPr>
        <w:t>price book value</w:t>
      </w:r>
    </w:p>
    <w:p w:rsidR="00BC277E" w:rsidRPr="007E0174" w:rsidRDefault="00BC277E" w:rsidP="00BA1ADD">
      <w:pPr>
        <w:pStyle w:val="ListParagraph"/>
        <w:numPr>
          <w:ilvl w:val="0"/>
          <w:numId w:val="6"/>
        </w:numPr>
        <w:spacing w:line="360" w:lineRule="auto"/>
        <w:ind w:left="284" w:hanging="284"/>
        <w:jc w:val="both"/>
        <w:rPr>
          <w:b/>
          <w:sz w:val="22"/>
          <w:szCs w:val="22"/>
        </w:rPr>
      </w:pPr>
      <w:r w:rsidRPr="007E0174">
        <w:rPr>
          <w:b/>
          <w:sz w:val="22"/>
          <w:szCs w:val="22"/>
        </w:rPr>
        <w:t>PENDAHULUAN</w:t>
      </w:r>
    </w:p>
    <w:p w:rsidR="00E849C2" w:rsidRPr="005419D3" w:rsidRDefault="00E849C2" w:rsidP="005419D3">
      <w:pPr>
        <w:spacing w:line="360" w:lineRule="auto"/>
        <w:ind w:firstLine="851"/>
        <w:jc w:val="both"/>
        <w:rPr>
          <w:sz w:val="22"/>
          <w:szCs w:val="22"/>
        </w:rPr>
      </w:pPr>
      <w:r w:rsidRPr="005419D3">
        <w:rPr>
          <w:sz w:val="22"/>
          <w:szCs w:val="22"/>
        </w:rPr>
        <w:t>Lembaga keuangan sektor perbankan merupakan institusi masyarakat yang diharapkan mampu melancarkan  perekonomian  negara. Hal ini ditunjukkan pada fenomena tahun 1998, ketika  perbankan Indonesia mengalami masa-masa kritis, sejumlah  bank umum bermasalah, maka stabilitas sektor-sektor riilpun ikut terpuruk. Sejumlah perusahaan besar dalam negeri mengalami kebangkrutan dan yang masih mampu survive-pun sulit  melakukan pengembangan usaha akibat menipisnya cadangan dana untuk  investasi dari perbankan.</w:t>
      </w:r>
    </w:p>
    <w:p w:rsidR="005419D3" w:rsidRPr="005419D3" w:rsidRDefault="005419D3" w:rsidP="005419D3">
      <w:pPr>
        <w:autoSpaceDE w:val="0"/>
        <w:autoSpaceDN w:val="0"/>
        <w:adjustRightInd w:val="0"/>
        <w:spacing w:line="360" w:lineRule="auto"/>
        <w:ind w:firstLine="720"/>
        <w:jc w:val="both"/>
        <w:rPr>
          <w:rFonts w:eastAsia="Calibri"/>
          <w:sz w:val="22"/>
          <w:szCs w:val="22"/>
          <w:lang w:eastAsia="id-ID"/>
        </w:rPr>
      </w:pPr>
      <w:r w:rsidRPr="005419D3">
        <w:rPr>
          <w:rFonts w:eastAsia="Calibri"/>
          <w:sz w:val="22"/>
          <w:szCs w:val="22"/>
          <w:lang w:eastAsia="id-ID"/>
        </w:rPr>
        <w:t>Krisis keuangan global yang terjadi memberi pelajaran bahwa inovasi dalam produk, jasa, dan aktivitas perbankan yang tidak diimbangi dengan penerapan manajemen resiko yang memadai dapat menimbulkan berbagai permasalahan mendasar pada bank maupun terhadap sistem keuangan secara keseluruhan. Perbankan mempunyai peranan yang sangat penting di dalam memajukan perekonomian Negara, karena bank mempunyai fungsi utama untuk menghimpun dana dari masyarakat dan menyalurkan kembali kepada masyarakat dalam bentuk kredit dan produk-produk lainnya. Khaerunnisa Said (2012 dalam utami, 2015) menyatakan Bank merupakan suatu lembaga yang mendapatkan izin untuk mengerahkan dana yang berasal dari masyarakat berupa simpanan dan menyalurkan dana tersebut kepada masyarakat yang berupa pinjaman, sehingga bank berfungsi sebagai perantara antara penabung dan pemakai akhir, rumah tangga dan perusahaan.</w:t>
      </w:r>
    </w:p>
    <w:p w:rsidR="005419D3" w:rsidRPr="005419D3" w:rsidRDefault="005419D3" w:rsidP="005419D3">
      <w:pPr>
        <w:autoSpaceDE w:val="0"/>
        <w:autoSpaceDN w:val="0"/>
        <w:adjustRightInd w:val="0"/>
        <w:spacing w:line="360" w:lineRule="auto"/>
        <w:ind w:firstLine="720"/>
        <w:jc w:val="both"/>
        <w:rPr>
          <w:rFonts w:eastAsia="Calibri"/>
          <w:sz w:val="22"/>
          <w:szCs w:val="22"/>
          <w:lang w:eastAsia="id-ID"/>
        </w:rPr>
      </w:pPr>
      <w:r w:rsidRPr="005419D3">
        <w:rPr>
          <w:rFonts w:eastAsia="Calibri"/>
          <w:sz w:val="22"/>
          <w:szCs w:val="22"/>
          <w:lang w:eastAsia="id-ID"/>
        </w:rPr>
        <w:t xml:space="preserve">Bank yang sehat adalah bank yang dapat menjalankan fungsi-fungsinya dengan baik. Dengan kata lain, bank yang sehat adalah bank yang dapat menjaga dan memelihara kepercayaan masyarakat, dapat menjalankan fungsi intermediasi, dapat membantu kelancaran lalu lintas pembayaran serta dapat digunakan oleh pemerintah dalam melaksanakan berbagai kebijakannya, terutama kebijakan moneter. Kesehatan suatu bank merupakan kepentingan semua pihak yang terkait, yaitu pemilik dan pengelola bank, masyarakat pengguna jasa bank dan Bank Indonesia selaku pembina dan pengawas bank. Untuk menilai suatu kesehatan bank dapat dilihat dari berbagai segi. Penilaian ini bertujuan untuk </w:t>
      </w:r>
      <w:r w:rsidRPr="005419D3">
        <w:rPr>
          <w:rFonts w:eastAsia="Calibri"/>
          <w:sz w:val="22"/>
          <w:szCs w:val="22"/>
          <w:lang w:eastAsia="id-ID"/>
        </w:rPr>
        <w:lastRenderedPageBreak/>
        <w:t>menentukan apakah bank tersebut dalam kondisi yang sehat, cukup sehat, kurang sehat, atau tidak sehat. Dalam surat edaran Bank Indonesia No.13/24/DPNP  tanggal 25 Oktober 2011 tentang penilaian tingkat kesehatan bank. Bank-bank diharuskan membuat laporan baik yang bersifat rutin maupun secara berkala mengenai seluruh aktivitasnya dalam suatu periode tertentu. Kemudian dipelajari dan dianalisis, sehingga dapat diketahui kondisi kesehatannya akan memudahkan bank itu sendiri untuk memperbaiki kesehatannya.</w:t>
      </w:r>
    </w:p>
    <w:p w:rsidR="005419D3" w:rsidRPr="005419D3" w:rsidRDefault="005419D3" w:rsidP="005419D3">
      <w:pPr>
        <w:spacing w:line="360" w:lineRule="auto"/>
        <w:ind w:firstLine="720"/>
        <w:jc w:val="both"/>
        <w:rPr>
          <w:sz w:val="22"/>
          <w:szCs w:val="22"/>
        </w:rPr>
      </w:pPr>
      <w:r w:rsidRPr="005419D3">
        <w:rPr>
          <w:sz w:val="22"/>
          <w:szCs w:val="22"/>
        </w:rPr>
        <w:t>Menurut Juwenda, 2014 perbankan sebagai lembaga yang menjalankan fungsi intermediasi atas dana yang diterima dari nasabah sangat memperhatikan nilai perusahaan. Kegagalan bank dalam menjaga nilai perusahaannya akan menyebabkan kepercayaan dari nasabah beserta lembaga-lembaga yang menyimpan dana atau menginvestasikan modalnya di Bank berkurang, sehingga dana yang dikelola untuk mendapatkan keuntungan pun berkurang. Hal ini menyebabkan bank harus menjaga setiap kegiatannya demi meningkatkan nilai perusahaan.</w:t>
      </w:r>
    </w:p>
    <w:p w:rsidR="00733761" w:rsidRPr="00F51824" w:rsidRDefault="005419D3" w:rsidP="00BA1ADD">
      <w:pPr>
        <w:autoSpaceDE w:val="0"/>
        <w:autoSpaceDN w:val="0"/>
        <w:adjustRightInd w:val="0"/>
        <w:spacing w:after="100" w:line="360" w:lineRule="auto"/>
        <w:ind w:firstLine="720"/>
        <w:jc w:val="both"/>
        <w:rPr>
          <w:rFonts w:eastAsia="Calibri"/>
          <w:sz w:val="22"/>
          <w:szCs w:val="22"/>
          <w:lang w:eastAsia="id-ID"/>
        </w:rPr>
      </w:pPr>
      <w:r w:rsidRPr="005419D3">
        <w:rPr>
          <w:rFonts w:eastAsia="Calibri"/>
          <w:sz w:val="22"/>
          <w:szCs w:val="22"/>
          <w:lang w:eastAsia="id-ID"/>
        </w:rPr>
        <w:t>Penilaian kesehatan bank dengan metode baru untuk menilai kesehatan bank. Pedoman perhitungan selengkapnya diatur dalam Surat Edaran (SE) Bank Indonesia No. 13/24/DPNP tanggal 25 Oktober 2011 tentang Penilaian Tingkat Kesehatan Bank Umum tersebut merupakan petunjuk pelaksanaan dari Peraturan Bank Indonesia No. 13/1/PBI/2011 yang mewajibkan Bank Umum untuk melakukan penilaian sendiri (</w:t>
      </w:r>
      <w:r w:rsidRPr="005419D3">
        <w:rPr>
          <w:rFonts w:eastAsia="Calibri"/>
          <w:i/>
          <w:iCs/>
          <w:sz w:val="22"/>
          <w:szCs w:val="22"/>
          <w:lang w:eastAsia="id-ID"/>
        </w:rPr>
        <w:t>self assessment</w:t>
      </w:r>
      <w:r w:rsidRPr="005419D3">
        <w:rPr>
          <w:rFonts w:eastAsia="Calibri"/>
          <w:sz w:val="22"/>
          <w:szCs w:val="22"/>
          <w:lang w:eastAsia="id-ID"/>
        </w:rPr>
        <w:t>) Tingkat Kesehatan Bank dengan menggunakan pendekatan Risiko (</w:t>
      </w:r>
      <w:r w:rsidRPr="005419D3">
        <w:rPr>
          <w:rFonts w:eastAsia="Calibri"/>
          <w:i/>
          <w:iCs/>
          <w:sz w:val="22"/>
          <w:szCs w:val="22"/>
          <w:lang w:eastAsia="id-ID"/>
        </w:rPr>
        <w:t>Risk-based Bank Rating/</w:t>
      </w:r>
      <w:r w:rsidRPr="005419D3">
        <w:rPr>
          <w:rFonts w:eastAsia="Calibri"/>
          <w:sz w:val="22"/>
          <w:szCs w:val="22"/>
          <w:lang w:eastAsia="id-ID"/>
        </w:rPr>
        <w:t xml:space="preserve">RBRR) baik secara individual maupun secara konsolidasi </w:t>
      </w:r>
      <w:r w:rsidRPr="005419D3">
        <w:rPr>
          <w:sz w:val="22"/>
          <w:szCs w:val="22"/>
        </w:rPr>
        <w:t>dengan formulasi atau matriks penilaian berdasarkan Surat Edaran Bank Indonesia Nomor 13/24/DPNP tanggal 25 Oktober 2011.</w:t>
      </w:r>
    </w:p>
    <w:p w:rsidR="00BC277E" w:rsidRPr="007E0174" w:rsidRDefault="00BC277E" w:rsidP="00BC277E">
      <w:pPr>
        <w:pStyle w:val="ListParagraph"/>
        <w:numPr>
          <w:ilvl w:val="0"/>
          <w:numId w:val="6"/>
        </w:numPr>
        <w:spacing w:after="200" w:line="360" w:lineRule="auto"/>
        <w:ind w:left="284" w:hanging="284"/>
        <w:jc w:val="both"/>
        <w:rPr>
          <w:b/>
          <w:sz w:val="22"/>
          <w:szCs w:val="22"/>
        </w:rPr>
      </w:pPr>
      <w:r w:rsidRPr="007E0174">
        <w:rPr>
          <w:b/>
          <w:sz w:val="22"/>
          <w:szCs w:val="22"/>
        </w:rPr>
        <w:t>KAJIAN LITERATUR DAN PENGEMBANGAN HIPOTESIS</w:t>
      </w:r>
    </w:p>
    <w:p w:rsidR="00582C67" w:rsidRPr="00582C67" w:rsidRDefault="00582C67" w:rsidP="00582C67">
      <w:pPr>
        <w:pStyle w:val="ListParagraph"/>
        <w:numPr>
          <w:ilvl w:val="0"/>
          <w:numId w:val="9"/>
        </w:numPr>
        <w:spacing w:line="360" w:lineRule="auto"/>
        <w:ind w:left="426" w:hanging="426"/>
        <w:jc w:val="both"/>
        <w:rPr>
          <w:b/>
          <w:sz w:val="22"/>
          <w:szCs w:val="22"/>
        </w:rPr>
      </w:pPr>
      <w:r>
        <w:rPr>
          <w:i/>
          <w:sz w:val="22"/>
          <w:szCs w:val="22"/>
        </w:rPr>
        <w:t>Nilai Perusahaan</w:t>
      </w:r>
    </w:p>
    <w:p w:rsidR="00582C67" w:rsidRPr="00582C67" w:rsidRDefault="00582C67" w:rsidP="00582C67">
      <w:pPr>
        <w:spacing w:line="360" w:lineRule="auto"/>
        <w:ind w:firstLine="851"/>
        <w:jc w:val="both"/>
        <w:rPr>
          <w:b/>
          <w:sz w:val="22"/>
          <w:szCs w:val="22"/>
        </w:rPr>
      </w:pPr>
      <w:r w:rsidRPr="00423DC6">
        <w:t xml:space="preserve">Menurut Salvatore (2005 dalam Haerani 2015), nilai perusahaan merupakan persepsi investor terhadap perusahaan, yang sering dikaitkan dengan harga saham. Harga saham yang tinggi membuat nilai perusahaan juga tinggi. Tujuan utama perusahaan menurut </w:t>
      </w:r>
      <w:r w:rsidRPr="00582C67">
        <w:rPr>
          <w:i/>
        </w:rPr>
        <w:t>theory of the firm</w:t>
      </w:r>
      <w:r w:rsidRPr="00423DC6">
        <w:t xml:space="preserve"> adalah untuk memaksimumkan kekayaan atau nilai perusahaan </w:t>
      </w:r>
      <w:r w:rsidRPr="00582C67">
        <w:rPr>
          <w:i/>
        </w:rPr>
        <w:t>(value of the firm).</w:t>
      </w:r>
    </w:p>
    <w:p w:rsidR="00582C67" w:rsidRDefault="00582C67" w:rsidP="00582C67">
      <w:pPr>
        <w:spacing w:line="360" w:lineRule="auto"/>
        <w:ind w:firstLine="851"/>
        <w:jc w:val="both"/>
        <w:rPr>
          <w:sz w:val="22"/>
          <w:szCs w:val="22"/>
        </w:rPr>
      </w:pPr>
      <w:r w:rsidRPr="00582C67">
        <w:rPr>
          <w:sz w:val="22"/>
          <w:szCs w:val="22"/>
        </w:rPr>
        <w:t xml:space="preserve">Manajer perusahaan mempunyai tujuan untuk meningkatkan nilai perusahaan melalui </w:t>
      </w:r>
      <w:r w:rsidRPr="00582C67">
        <w:rPr>
          <w:rFonts w:eastAsia="Calibri"/>
          <w:sz w:val="22"/>
          <w:szCs w:val="22"/>
          <w:lang w:eastAsia="id-ID"/>
        </w:rPr>
        <w:t>melakukan penilaian sendiri (</w:t>
      </w:r>
      <w:r w:rsidRPr="00582C67">
        <w:rPr>
          <w:rFonts w:eastAsia="Calibri"/>
          <w:i/>
          <w:iCs/>
          <w:sz w:val="22"/>
          <w:szCs w:val="22"/>
          <w:lang w:eastAsia="id-ID"/>
        </w:rPr>
        <w:t>self assessment</w:t>
      </w:r>
      <w:r w:rsidRPr="00582C67">
        <w:rPr>
          <w:rFonts w:eastAsia="Calibri"/>
          <w:sz w:val="22"/>
          <w:szCs w:val="22"/>
          <w:lang w:eastAsia="id-ID"/>
        </w:rPr>
        <w:t>) Tingkat Kesehatan Bank dengan menggunakan pendekatan Resiko (</w:t>
      </w:r>
      <w:r w:rsidRPr="00582C67">
        <w:rPr>
          <w:rFonts w:eastAsia="Calibri"/>
          <w:i/>
          <w:iCs/>
          <w:sz w:val="22"/>
          <w:szCs w:val="22"/>
          <w:lang w:eastAsia="id-ID"/>
        </w:rPr>
        <w:t>Risk-based Bank Rating/</w:t>
      </w:r>
      <w:r w:rsidRPr="00582C67">
        <w:rPr>
          <w:rFonts w:eastAsia="Calibri"/>
          <w:sz w:val="22"/>
          <w:szCs w:val="22"/>
          <w:lang w:eastAsia="id-ID"/>
        </w:rPr>
        <w:t xml:space="preserve">RBRR) baik secara individual namun secara konsolidasi </w:t>
      </w:r>
      <w:r w:rsidRPr="00582C67">
        <w:rPr>
          <w:sz w:val="22"/>
          <w:szCs w:val="22"/>
        </w:rPr>
        <w:t>yang berdampak terhadap pencapaian tujuan perusahaan. Tujuan umum dari suatu perusahaan adalah untuk mengembangkan usahanya dan memberikan kemakmuran yang maksimal kepada para pemegang sahamnya serta mengoptimalkan nilai perusahaan. Nilai perusahaan yang tinggi menjadi keinginan pemilik perusahaan, sebab dengan nilai perusahaan yang tinggi menunjukan kemakmuran pemegang saham.</w:t>
      </w:r>
    </w:p>
    <w:p w:rsidR="00C15D80" w:rsidRDefault="00C15D80" w:rsidP="00582C67">
      <w:pPr>
        <w:spacing w:line="360" w:lineRule="auto"/>
        <w:ind w:firstLine="851"/>
        <w:jc w:val="both"/>
        <w:rPr>
          <w:sz w:val="22"/>
          <w:szCs w:val="22"/>
        </w:rPr>
      </w:pPr>
    </w:p>
    <w:p w:rsidR="00C15D80" w:rsidRPr="00582C67" w:rsidRDefault="00C15D80" w:rsidP="00582C67">
      <w:pPr>
        <w:spacing w:line="360" w:lineRule="auto"/>
        <w:ind w:firstLine="851"/>
        <w:jc w:val="both"/>
        <w:rPr>
          <w:sz w:val="22"/>
          <w:szCs w:val="22"/>
        </w:rPr>
      </w:pPr>
    </w:p>
    <w:p w:rsidR="00BC277E" w:rsidRPr="007E0174" w:rsidRDefault="00582C67" w:rsidP="00582C67">
      <w:pPr>
        <w:pStyle w:val="ListParagraph"/>
        <w:numPr>
          <w:ilvl w:val="0"/>
          <w:numId w:val="9"/>
        </w:numPr>
        <w:spacing w:line="360" w:lineRule="auto"/>
        <w:ind w:left="426" w:hanging="426"/>
        <w:jc w:val="both"/>
        <w:rPr>
          <w:b/>
          <w:sz w:val="22"/>
          <w:szCs w:val="22"/>
        </w:rPr>
      </w:pPr>
      <w:r>
        <w:rPr>
          <w:i/>
          <w:sz w:val="22"/>
          <w:szCs w:val="22"/>
        </w:rPr>
        <w:lastRenderedPageBreak/>
        <w:t>Risk profil</w:t>
      </w:r>
    </w:p>
    <w:p w:rsidR="00582C67" w:rsidRDefault="00582C67" w:rsidP="00582C67">
      <w:pPr>
        <w:spacing w:line="360" w:lineRule="auto"/>
        <w:ind w:firstLine="851"/>
        <w:jc w:val="both"/>
        <w:rPr>
          <w:sz w:val="22"/>
          <w:szCs w:val="22"/>
        </w:rPr>
      </w:pPr>
      <w:r>
        <w:rPr>
          <w:rFonts w:eastAsia="Calibri"/>
          <w:sz w:val="22"/>
          <w:szCs w:val="22"/>
          <w:lang w:eastAsia="id-ID"/>
        </w:rPr>
        <w:t>Resiko kredit, m</w:t>
      </w:r>
      <w:r w:rsidRPr="00582C67">
        <w:rPr>
          <w:rFonts w:eastAsia="Calibri"/>
          <w:sz w:val="22"/>
          <w:szCs w:val="22"/>
          <w:lang w:eastAsia="id-ID"/>
        </w:rPr>
        <w:t xml:space="preserve">enurut Surat Edaran (SE) Bank Indonesia No. 13/24/DPNP tanggal 25 Oktober 2011 adalah </w:t>
      </w:r>
      <w:r w:rsidRPr="00582C67">
        <w:rPr>
          <w:sz w:val="22"/>
          <w:szCs w:val="22"/>
        </w:rPr>
        <w:t xml:space="preserve">resiko kredit akibat kegagalan debitur atau pihak lain dalam memenuhi kewajiban kepada bank. Resiko kredit  pada  umumnya terdapat pada seluruh aktivitas bank yang kinerjanya bergantung  pada kinerja pihak lawan </w:t>
      </w:r>
      <w:r w:rsidRPr="00582C67">
        <w:rPr>
          <w:i/>
          <w:sz w:val="22"/>
          <w:szCs w:val="22"/>
        </w:rPr>
        <w:t>(counterparty),</w:t>
      </w:r>
      <w:r w:rsidRPr="00582C67">
        <w:rPr>
          <w:sz w:val="22"/>
          <w:szCs w:val="22"/>
        </w:rPr>
        <w:t xml:space="preserve"> penerbit </w:t>
      </w:r>
      <w:r w:rsidRPr="00582C67">
        <w:rPr>
          <w:i/>
          <w:sz w:val="22"/>
          <w:szCs w:val="22"/>
        </w:rPr>
        <w:t xml:space="preserve">(issuer), </w:t>
      </w:r>
      <w:r w:rsidRPr="00582C67">
        <w:rPr>
          <w:sz w:val="22"/>
          <w:szCs w:val="22"/>
        </w:rPr>
        <w:t xml:space="preserve">atau kinerja peminjam dana </w:t>
      </w:r>
      <w:r w:rsidRPr="00582C67">
        <w:rPr>
          <w:i/>
          <w:sz w:val="22"/>
          <w:szCs w:val="22"/>
        </w:rPr>
        <w:t>(borrower).</w:t>
      </w:r>
      <w:r w:rsidRPr="00582C67">
        <w:rPr>
          <w:sz w:val="22"/>
          <w:szCs w:val="22"/>
        </w:rPr>
        <w:t xml:space="preserve">  Resiko  Kredit  juga  dapat diakibatkan  oleh  terkonsentrasinya penyediaan dana pada debitur,  wilayah  geografis,  produk,  jenis  pembiayaan, atau lapangan usaha tertentu. Pihak debitur tidak selamannya dapat mengembalikan uangnya kepada bank, misalnya saja jika debitur tersebut mengalami kerugian. </w:t>
      </w:r>
    </w:p>
    <w:p w:rsidR="00582C67" w:rsidRDefault="00E41EE6" w:rsidP="00E41EE6">
      <w:pPr>
        <w:spacing w:line="360" w:lineRule="auto"/>
        <w:ind w:firstLine="720"/>
        <w:jc w:val="both"/>
        <w:rPr>
          <w:rFonts w:eastAsia="Calibri"/>
          <w:i/>
          <w:sz w:val="22"/>
          <w:szCs w:val="22"/>
          <w:lang w:eastAsia="id-ID"/>
        </w:rPr>
      </w:pPr>
      <w:r>
        <w:rPr>
          <w:rFonts w:eastAsia="Calibri"/>
          <w:sz w:val="22"/>
          <w:szCs w:val="22"/>
          <w:lang w:eastAsia="id-ID"/>
        </w:rPr>
        <w:t>Resiko pasar, m</w:t>
      </w:r>
      <w:r w:rsidR="00582C67" w:rsidRPr="00E41EE6">
        <w:rPr>
          <w:rFonts w:eastAsia="Calibri"/>
          <w:sz w:val="22"/>
          <w:szCs w:val="22"/>
          <w:lang w:eastAsia="id-ID"/>
        </w:rPr>
        <w:t xml:space="preserve">enurut Surat Edaran (SE) Bank Indonesia No. 13/24/DPNP tanggal 25 Oktober 2011 resiko pasar adalah pada posisi neraca dan rekening administratif termasuk transaksi derivatif, akibat perubahan secara keseluruhan dari kondisi pasar, termasuk risiko perubahan harga </w:t>
      </w:r>
      <w:r>
        <w:rPr>
          <w:rFonts w:eastAsia="Calibri"/>
          <w:i/>
          <w:sz w:val="22"/>
          <w:szCs w:val="22"/>
          <w:lang w:eastAsia="id-ID"/>
        </w:rPr>
        <w:t>option.</w:t>
      </w:r>
    </w:p>
    <w:p w:rsidR="00E41EE6" w:rsidRDefault="00E41EE6" w:rsidP="00E41EE6">
      <w:pPr>
        <w:spacing w:line="360" w:lineRule="auto"/>
        <w:ind w:firstLine="720"/>
        <w:jc w:val="both"/>
        <w:rPr>
          <w:rFonts w:eastAsia="Calibri"/>
          <w:sz w:val="22"/>
          <w:szCs w:val="22"/>
          <w:lang w:eastAsia="id-ID"/>
        </w:rPr>
      </w:pPr>
      <w:r>
        <w:rPr>
          <w:rFonts w:eastAsia="Calibri"/>
          <w:sz w:val="22"/>
          <w:szCs w:val="22"/>
          <w:lang w:eastAsia="id-ID"/>
        </w:rPr>
        <w:t>Resiko likiditas, m</w:t>
      </w:r>
      <w:r w:rsidRPr="00E41EE6">
        <w:rPr>
          <w:rFonts w:eastAsia="Calibri"/>
          <w:sz w:val="22"/>
          <w:szCs w:val="22"/>
          <w:lang w:eastAsia="id-ID"/>
        </w:rPr>
        <w:t>enurut Surat Edaran (SE) Bank Indonesia No. 13/24/DPNP tanggal 25 Oktober 2011</w:t>
      </w:r>
      <w:r w:rsidRPr="00E41EE6">
        <w:rPr>
          <w:rFonts w:eastAsia="Calibri"/>
          <w:b/>
          <w:sz w:val="22"/>
          <w:szCs w:val="22"/>
          <w:lang w:eastAsia="id-ID"/>
        </w:rPr>
        <w:t xml:space="preserve"> </w:t>
      </w:r>
      <w:r w:rsidRPr="00E41EE6">
        <w:rPr>
          <w:rFonts w:eastAsia="Calibri"/>
          <w:sz w:val="22"/>
          <w:szCs w:val="22"/>
          <w:lang w:eastAsia="id-ID"/>
        </w:rPr>
        <w:t xml:space="preserve">resiko likuiditas adalah resiko  akibat  ketidakmampuan Bank  untuk  memenuhi  kewajiban  yang  jatuh  tempo  dari sumber  pendanaan  arus  kas, dan dari aset likuid berkualitas tinggi yang dapat diagunkan, tanpa mengganggu aktivitas dan kondisi keuangan  </w:t>
      </w:r>
      <w:r>
        <w:rPr>
          <w:rFonts w:eastAsia="Calibri"/>
          <w:sz w:val="22"/>
          <w:szCs w:val="22"/>
          <w:lang w:eastAsia="id-ID"/>
        </w:rPr>
        <w:t xml:space="preserve">Bank. </w:t>
      </w:r>
    </w:p>
    <w:p w:rsidR="00E41EE6" w:rsidRPr="00E41EE6" w:rsidRDefault="00E41EE6" w:rsidP="00C15D80">
      <w:pPr>
        <w:pStyle w:val="ListParagraph"/>
        <w:numPr>
          <w:ilvl w:val="1"/>
          <w:numId w:val="6"/>
        </w:numPr>
        <w:autoSpaceDE w:val="0"/>
        <w:autoSpaceDN w:val="0"/>
        <w:adjustRightInd w:val="0"/>
        <w:spacing w:after="200"/>
        <w:ind w:left="426" w:hanging="426"/>
        <w:jc w:val="both"/>
        <w:rPr>
          <w:sz w:val="22"/>
          <w:szCs w:val="22"/>
        </w:rPr>
      </w:pPr>
      <w:r w:rsidRPr="00E41EE6">
        <w:rPr>
          <w:i/>
          <w:sz w:val="22"/>
          <w:szCs w:val="22"/>
        </w:rPr>
        <w:t>Good Corporate Governance</w:t>
      </w:r>
    </w:p>
    <w:p w:rsidR="00E41EE6" w:rsidRPr="00E41EE6" w:rsidRDefault="00E41EE6" w:rsidP="00E41EE6">
      <w:pPr>
        <w:autoSpaceDE w:val="0"/>
        <w:autoSpaceDN w:val="0"/>
        <w:adjustRightInd w:val="0"/>
        <w:spacing w:line="360" w:lineRule="auto"/>
        <w:ind w:firstLine="851"/>
        <w:jc w:val="both"/>
        <w:rPr>
          <w:sz w:val="22"/>
          <w:szCs w:val="22"/>
        </w:rPr>
      </w:pPr>
      <w:r w:rsidRPr="00E41EE6">
        <w:rPr>
          <w:i/>
          <w:sz w:val="22"/>
          <w:szCs w:val="22"/>
        </w:rPr>
        <w:t>Good Corporate Governance</w:t>
      </w:r>
      <w:r w:rsidRPr="00E41EE6">
        <w:rPr>
          <w:sz w:val="22"/>
          <w:szCs w:val="22"/>
        </w:rPr>
        <w:t xml:space="preserve"> (GCG) adalah prinsip yang mengarahkan dan mengendalikan perusahaan agar mencapai keseimbangan antara kekuatan serta kewenangan perusahaan dalam memberikan pertanggungjawabannya kepada para </w:t>
      </w:r>
      <w:r w:rsidRPr="00E41EE6">
        <w:rPr>
          <w:i/>
          <w:iCs/>
          <w:sz w:val="22"/>
          <w:szCs w:val="22"/>
        </w:rPr>
        <w:t>shareholder</w:t>
      </w:r>
      <w:r w:rsidRPr="00E41EE6">
        <w:rPr>
          <w:sz w:val="22"/>
          <w:szCs w:val="22"/>
        </w:rPr>
        <w:t xml:space="preserve"> khususnya, dan </w:t>
      </w:r>
      <w:r w:rsidRPr="00E41EE6">
        <w:rPr>
          <w:i/>
          <w:iCs/>
          <w:sz w:val="22"/>
          <w:szCs w:val="22"/>
        </w:rPr>
        <w:t>stakeholders</w:t>
      </w:r>
      <w:r w:rsidRPr="00E41EE6">
        <w:rPr>
          <w:sz w:val="22"/>
          <w:szCs w:val="22"/>
        </w:rPr>
        <w:t xml:space="preserve"> pada umumnya. Tentu saja hal ini dimaksudkan untuk mengatur kewenangan Direktur, manajer, pemegang saham dan pihak lain yang berhubungan dengan perkembangan perusahaan di lingkungan tertentu.</w:t>
      </w:r>
    </w:p>
    <w:p w:rsidR="00E41EE6" w:rsidRDefault="00E41EE6" w:rsidP="00E41EE6">
      <w:pPr>
        <w:autoSpaceDE w:val="0"/>
        <w:autoSpaceDN w:val="0"/>
        <w:adjustRightInd w:val="0"/>
        <w:spacing w:line="360" w:lineRule="auto"/>
        <w:ind w:firstLine="851"/>
        <w:jc w:val="both"/>
        <w:rPr>
          <w:sz w:val="22"/>
          <w:szCs w:val="22"/>
        </w:rPr>
      </w:pPr>
      <w:r w:rsidRPr="00E41EE6">
        <w:rPr>
          <w:sz w:val="22"/>
          <w:szCs w:val="22"/>
        </w:rPr>
        <w:t xml:space="preserve">Penelitian mengenai </w:t>
      </w:r>
      <w:r w:rsidRPr="00E41EE6">
        <w:rPr>
          <w:i/>
          <w:sz w:val="22"/>
          <w:szCs w:val="22"/>
        </w:rPr>
        <w:t>corporate governance</w:t>
      </w:r>
      <w:r w:rsidRPr="00E41EE6">
        <w:rPr>
          <w:sz w:val="22"/>
          <w:szCs w:val="22"/>
        </w:rPr>
        <w:t xml:space="preserve"> menghasilkan berbagai mekanisme yang bertujuan untuk meyakinkan bahwa tindakan manajemen selaras dengan kepentingan shareholders. Ada beberapa mekanisme </w:t>
      </w:r>
      <w:r w:rsidRPr="00E41EE6">
        <w:rPr>
          <w:i/>
          <w:sz w:val="22"/>
          <w:szCs w:val="22"/>
        </w:rPr>
        <w:t xml:space="preserve">corporate governance </w:t>
      </w:r>
      <w:r w:rsidRPr="00E41EE6">
        <w:rPr>
          <w:sz w:val="22"/>
          <w:szCs w:val="22"/>
        </w:rPr>
        <w:t>yang dianalisis dalam penelitian ini yaitu komisaris independen, kepemilikan institusional dan komite audit.</w:t>
      </w:r>
    </w:p>
    <w:p w:rsidR="00E41EE6" w:rsidRPr="00E41EE6" w:rsidRDefault="00E41EE6" w:rsidP="00A8173C">
      <w:pPr>
        <w:spacing w:line="360" w:lineRule="auto"/>
        <w:ind w:firstLine="851"/>
        <w:jc w:val="both"/>
        <w:rPr>
          <w:sz w:val="22"/>
          <w:szCs w:val="22"/>
        </w:rPr>
      </w:pPr>
      <w:r w:rsidRPr="00E41EE6">
        <w:rPr>
          <w:sz w:val="22"/>
          <w:szCs w:val="22"/>
        </w:rPr>
        <w:t xml:space="preserve">Komisaris </w:t>
      </w:r>
      <w:r>
        <w:rPr>
          <w:sz w:val="22"/>
          <w:szCs w:val="22"/>
        </w:rPr>
        <w:t>I</w:t>
      </w:r>
      <w:r w:rsidRPr="00E41EE6">
        <w:rPr>
          <w:sz w:val="22"/>
          <w:szCs w:val="22"/>
        </w:rPr>
        <w:t>ndependen adalah orang yang bertugas melakukan pengawasan dan memberikan nasihat kepada direksi dalam menjalankan pengurusan perseroan (Sutedi, 2015:130).  Dalam menjalankan tugasnya dewan komisaris oleh undang-undang dan anggaran dasar perseroan memberikan kewenangan tertentu.  Kewenangan ini, antara lain memasuki kantor perseroan, mendapatkan laporan direksi dan memeriksa dokumen perseroan, menyetujui atau tidak menyetujui suatu tindakan tertentu dari direksi sebagaimana diatur dalam anggaran dasar, serta memberhentikan sementara direksi dan mengurus perseroan dalam hal perseroan tidak memiliki direksi (Sutedi, 2015:130).</w:t>
      </w:r>
    </w:p>
    <w:p w:rsidR="00E41EE6" w:rsidRDefault="00E41EE6" w:rsidP="00E41EE6">
      <w:pPr>
        <w:autoSpaceDE w:val="0"/>
        <w:autoSpaceDN w:val="0"/>
        <w:adjustRightInd w:val="0"/>
        <w:spacing w:line="360" w:lineRule="auto"/>
        <w:ind w:firstLine="851"/>
        <w:jc w:val="both"/>
        <w:rPr>
          <w:sz w:val="22"/>
          <w:szCs w:val="22"/>
          <w:lang w:eastAsia="id-ID"/>
        </w:rPr>
      </w:pPr>
      <w:r>
        <w:rPr>
          <w:sz w:val="22"/>
          <w:szCs w:val="22"/>
        </w:rPr>
        <w:t xml:space="preserve">Komite Audit, </w:t>
      </w:r>
      <w:r w:rsidRPr="00E41EE6">
        <w:rPr>
          <w:sz w:val="22"/>
          <w:szCs w:val="22"/>
        </w:rPr>
        <w:t xml:space="preserve">Sutedi 2015 menyatakan Dalam pelaksanaan tugasnya, Komite Audit mempunyai fungsi membantu Dewan Komisaris untuk melakukan hal-hal berikut seperti </w:t>
      </w:r>
      <w:r w:rsidRPr="00E41EE6">
        <w:rPr>
          <w:sz w:val="22"/>
          <w:szCs w:val="22"/>
          <w:lang w:eastAsia="id-ID"/>
        </w:rPr>
        <w:t>meningkatkan kualitas laporan keuangan</w:t>
      </w:r>
      <w:r w:rsidRPr="00E41EE6">
        <w:rPr>
          <w:sz w:val="22"/>
          <w:szCs w:val="22"/>
        </w:rPr>
        <w:t xml:space="preserve">, </w:t>
      </w:r>
      <w:r w:rsidRPr="00E41EE6">
        <w:rPr>
          <w:sz w:val="22"/>
          <w:szCs w:val="22"/>
          <w:lang w:eastAsia="id-ID"/>
        </w:rPr>
        <w:t>menciptakan iklim disiplin dan pengendalian yang dapat mengurangi kesempatan terjadinya penyimpangan dalam pengelolaan perusahaan, meningkatkan efektivitas fungsi internal audit (SPI) ataupun eksternal audit</w:t>
      </w:r>
      <w:r w:rsidRPr="00E41EE6">
        <w:rPr>
          <w:sz w:val="22"/>
          <w:szCs w:val="22"/>
        </w:rPr>
        <w:t xml:space="preserve">, dan </w:t>
      </w:r>
      <w:r w:rsidRPr="00E41EE6">
        <w:rPr>
          <w:sz w:val="22"/>
          <w:szCs w:val="22"/>
          <w:lang w:eastAsia="id-ID"/>
        </w:rPr>
        <w:t>mengidentifikasi hal-hal yang memerlukan perhatian Dewan Komisaris/Dewan Pengawas.</w:t>
      </w:r>
    </w:p>
    <w:p w:rsidR="00E41EE6" w:rsidRDefault="00E41EE6" w:rsidP="00E41EE6">
      <w:pPr>
        <w:autoSpaceDE w:val="0"/>
        <w:autoSpaceDN w:val="0"/>
        <w:adjustRightInd w:val="0"/>
        <w:spacing w:line="360" w:lineRule="auto"/>
        <w:ind w:firstLine="851"/>
        <w:jc w:val="both"/>
        <w:rPr>
          <w:sz w:val="22"/>
          <w:szCs w:val="22"/>
        </w:rPr>
      </w:pPr>
      <w:r w:rsidRPr="00791782">
        <w:rPr>
          <w:sz w:val="22"/>
          <w:szCs w:val="22"/>
        </w:rPr>
        <w:t>Kepemilikan Institusional, Hardiningsih 2010 menyatakan bahwa kepemilikan institusional adalah persentase saham perusahaan yang dimiliki perusahaan lain baik yang berada di dalam maupun diluar negeri serta saham pemerintah dalam dan luar negeri. Dengan adanya kepemilikan institusional oleh perusahaan investasi, bank, perusahaan asuransi, maupun lembaga lain seperti perusahaan-perusahaan akan mendorong munculnya pengawasan yang lebih optimal terhadap kinerja manajer.</w:t>
      </w:r>
    </w:p>
    <w:p w:rsidR="00791782" w:rsidRPr="00791782" w:rsidRDefault="00791782" w:rsidP="00791782">
      <w:pPr>
        <w:pStyle w:val="ListParagraph"/>
        <w:numPr>
          <w:ilvl w:val="0"/>
          <w:numId w:val="9"/>
        </w:numPr>
        <w:autoSpaceDE w:val="0"/>
        <w:autoSpaceDN w:val="0"/>
        <w:adjustRightInd w:val="0"/>
        <w:spacing w:line="360" w:lineRule="auto"/>
        <w:ind w:left="426" w:hanging="426"/>
        <w:jc w:val="both"/>
        <w:rPr>
          <w:sz w:val="22"/>
          <w:szCs w:val="22"/>
        </w:rPr>
      </w:pPr>
      <w:r>
        <w:rPr>
          <w:i/>
          <w:sz w:val="22"/>
          <w:szCs w:val="22"/>
        </w:rPr>
        <w:t xml:space="preserve">Earning </w:t>
      </w:r>
    </w:p>
    <w:p w:rsidR="00791782" w:rsidRDefault="00791782" w:rsidP="00791782">
      <w:pPr>
        <w:spacing w:line="360" w:lineRule="auto"/>
        <w:ind w:firstLine="851"/>
        <w:jc w:val="both"/>
        <w:textAlignment w:val="baseline"/>
        <w:rPr>
          <w:sz w:val="22"/>
          <w:szCs w:val="22"/>
          <w:bdr w:val="none" w:sz="0" w:space="0" w:color="auto" w:frame="1"/>
          <w:lang w:eastAsia="id-ID"/>
        </w:rPr>
      </w:pPr>
      <w:r w:rsidRPr="00791782">
        <w:rPr>
          <w:sz w:val="22"/>
          <w:szCs w:val="22"/>
          <w:bdr w:val="none" w:sz="0" w:space="0" w:color="auto" w:frame="1"/>
          <w:lang w:eastAsia="id-ID"/>
        </w:rPr>
        <w:t xml:space="preserve">Menurut Munawir (2010 dalam Arisanti, 2014) </w:t>
      </w:r>
      <w:r w:rsidRPr="00791782">
        <w:rPr>
          <w:i/>
          <w:iCs/>
          <w:sz w:val="22"/>
          <w:szCs w:val="22"/>
          <w:bdr w:val="none" w:sz="0" w:space="0" w:color="auto" w:frame="1"/>
          <w:lang w:eastAsia="id-ID"/>
        </w:rPr>
        <w:t>earning</w:t>
      </w:r>
      <w:r w:rsidRPr="00791782">
        <w:rPr>
          <w:iCs/>
          <w:sz w:val="22"/>
          <w:szCs w:val="22"/>
          <w:bdr w:val="none" w:sz="0" w:space="0" w:color="auto" w:frame="1"/>
          <w:lang w:eastAsia="id-ID"/>
        </w:rPr>
        <w:t xml:space="preserve"> adalah kemampuan perusahaan menghasilkan laba selama periode tertentu.</w:t>
      </w:r>
      <w:r w:rsidRPr="00791782">
        <w:rPr>
          <w:sz w:val="22"/>
          <w:szCs w:val="22"/>
          <w:lang w:eastAsia="id-ID"/>
        </w:rPr>
        <w:t xml:space="preserve"> </w:t>
      </w:r>
      <w:r w:rsidRPr="00791782">
        <w:rPr>
          <w:sz w:val="22"/>
          <w:szCs w:val="22"/>
          <w:bdr w:val="none" w:sz="0" w:space="0" w:color="auto" w:frame="1"/>
          <w:lang w:eastAsia="id-ID"/>
        </w:rPr>
        <w:t>Kegunaan rentabilitas juga untuk mengukur tingkat efisiensi usaha dan profitabilitas yang dicapai bank yang bersangkutan. Bank yang sehat adalah bank yang diukur secara rentabilitas yang terus meningkat diatas standar yang telah ditetapkan.</w:t>
      </w:r>
    </w:p>
    <w:p w:rsidR="00791782" w:rsidRPr="00791782" w:rsidRDefault="00791782" w:rsidP="00791782">
      <w:pPr>
        <w:pStyle w:val="ListParagraph"/>
        <w:numPr>
          <w:ilvl w:val="0"/>
          <w:numId w:val="9"/>
        </w:numPr>
        <w:spacing w:line="360" w:lineRule="auto"/>
        <w:ind w:left="426" w:hanging="426"/>
        <w:jc w:val="both"/>
        <w:textAlignment w:val="baseline"/>
        <w:rPr>
          <w:sz w:val="22"/>
          <w:szCs w:val="22"/>
          <w:bdr w:val="none" w:sz="0" w:space="0" w:color="auto" w:frame="1"/>
          <w:lang w:eastAsia="id-ID"/>
        </w:rPr>
      </w:pPr>
      <w:r>
        <w:rPr>
          <w:i/>
          <w:sz w:val="22"/>
          <w:szCs w:val="22"/>
          <w:bdr w:val="none" w:sz="0" w:space="0" w:color="auto" w:frame="1"/>
          <w:lang w:eastAsia="id-ID"/>
        </w:rPr>
        <w:t>Capital</w:t>
      </w:r>
    </w:p>
    <w:p w:rsidR="00791782" w:rsidRPr="00791782" w:rsidRDefault="00791782" w:rsidP="00791782">
      <w:pPr>
        <w:spacing w:line="360" w:lineRule="auto"/>
        <w:ind w:firstLine="851"/>
        <w:jc w:val="both"/>
        <w:textAlignment w:val="baseline"/>
        <w:rPr>
          <w:sz w:val="22"/>
          <w:szCs w:val="22"/>
        </w:rPr>
      </w:pPr>
      <w:r w:rsidRPr="00791782">
        <w:rPr>
          <w:sz w:val="22"/>
          <w:szCs w:val="22"/>
        </w:rPr>
        <w:t xml:space="preserve">Menurut Fahmi (2013 dalam Sadiah, 2015) menyatakan bahwa struktur modal merupakan gambaran dari bentuk proporsi finansial perusahaan yaitu antara modal yang dimiliki yang bersumber dari utang jangka panjang </w:t>
      </w:r>
      <w:r w:rsidRPr="00791782">
        <w:rPr>
          <w:i/>
          <w:sz w:val="22"/>
          <w:szCs w:val="22"/>
        </w:rPr>
        <w:t xml:space="preserve">(long-tern liabilities) </w:t>
      </w:r>
      <w:r w:rsidRPr="00791782">
        <w:rPr>
          <w:sz w:val="22"/>
          <w:szCs w:val="22"/>
        </w:rPr>
        <w:t xml:space="preserve">dan modal sendiri </w:t>
      </w:r>
      <w:r w:rsidRPr="00791782">
        <w:rPr>
          <w:i/>
          <w:sz w:val="22"/>
          <w:szCs w:val="22"/>
        </w:rPr>
        <w:t>(shareholders’ equity)</w:t>
      </w:r>
      <w:r w:rsidRPr="00791782">
        <w:rPr>
          <w:sz w:val="22"/>
          <w:szCs w:val="22"/>
        </w:rPr>
        <w:t xml:space="preserve"> yang menjadi sumber pembiayaan suatu perusahaan. tujuan struktur modal adalah memadukan sumber dana permanen yang selanjutnya digunakan oleh perusahaan untuk memaksimumkan nilai perusahaan.</w:t>
      </w:r>
    </w:p>
    <w:p w:rsidR="00BC277E" w:rsidRPr="007E0174" w:rsidRDefault="00A8173C" w:rsidP="00A8173C">
      <w:pPr>
        <w:pStyle w:val="ListParagraph"/>
        <w:numPr>
          <w:ilvl w:val="0"/>
          <w:numId w:val="9"/>
        </w:numPr>
        <w:spacing w:line="360" w:lineRule="auto"/>
        <w:ind w:left="426" w:hanging="426"/>
        <w:jc w:val="both"/>
        <w:rPr>
          <w:b/>
          <w:sz w:val="22"/>
          <w:szCs w:val="22"/>
        </w:rPr>
      </w:pPr>
      <w:r>
        <w:rPr>
          <w:i/>
          <w:sz w:val="22"/>
          <w:szCs w:val="22"/>
        </w:rPr>
        <w:t>Variabel penelitian</w:t>
      </w:r>
    </w:p>
    <w:p w:rsidR="00A8173C" w:rsidRPr="00A8173C" w:rsidRDefault="00A8173C" w:rsidP="00A8173C">
      <w:pPr>
        <w:spacing w:line="360" w:lineRule="auto"/>
        <w:ind w:firstLine="851"/>
        <w:jc w:val="both"/>
        <w:rPr>
          <w:sz w:val="22"/>
          <w:szCs w:val="22"/>
        </w:rPr>
      </w:pPr>
      <w:r w:rsidRPr="00A8173C">
        <w:rPr>
          <w:sz w:val="22"/>
          <w:szCs w:val="22"/>
        </w:rPr>
        <w:t xml:space="preserve">Variabel Dependen dalam Penelitian ini adalah Nilai perusahaan, dalam penelitian ini diproksikan untuk mengukur nilai perusahaan dengan </w:t>
      </w:r>
      <w:r w:rsidRPr="00A8173C">
        <w:rPr>
          <w:i/>
          <w:iCs/>
          <w:sz w:val="22"/>
          <w:szCs w:val="22"/>
        </w:rPr>
        <w:t xml:space="preserve">Price Book Value </w:t>
      </w:r>
      <w:r w:rsidRPr="00A8173C">
        <w:rPr>
          <w:sz w:val="22"/>
          <w:szCs w:val="22"/>
        </w:rPr>
        <w:t xml:space="preserve">(PBV). Menurut </w:t>
      </w:r>
      <w:r w:rsidRPr="00A8173C">
        <w:rPr>
          <w:bCs/>
          <w:sz w:val="22"/>
          <w:szCs w:val="22"/>
        </w:rPr>
        <w:t>Murhadi (2013:66)</w:t>
      </w:r>
      <w:r w:rsidRPr="00A8173C">
        <w:rPr>
          <w:sz w:val="22"/>
          <w:szCs w:val="22"/>
        </w:rPr>
        <w:t xml:space="preserve"> PBV adalah rasio yang menggambarkan perbandingan antara harga saham dan nilai buku ekuitas sebagaimana yang ada di laporan posisi keuangan. Variabel Independen dalam penelitian ini adalah NPL. PDN, LDR, KMI, KKI, KTA, NIM, DAN CAR.</w:t>
      </w:r>
    </w:p>
    <w:p w:rsidR="00BC277E" w:rsidRPr="007E0174" w:rsidRDefault="00BC277E" w:rsidP="00BC277E">
      <w:pPr>
        <w:pStyle w:val="ListParagraph"/>
        <w:numPr>
          <w:ilvl w:val="0"/>
          <w:numId w:val="9"/>
        </w:numPr>
        <w:spacing w:after="200" w:line="360" w:lineRule="auto"/>
        <w:ind w:left="426" w:hanging="426"/>
        <w:jc w:val="both"/>
        <w:rPr>
          <w:b/>
          <w:sz w:val="22"/>
          <w:szCs w:val="22"/>
        </w:rPr>
      </w:pPr>
      <w:r w:rsidRPr="007E0174">
        <w:rPr>
          <w:i/>
          <w:sz w:val="22"/>
          <w:szCs w:val="22"/>
        </w:rPr>
        <w:t>Penelitian Terdahulu dan Pengembangan Hipotesis</w:t>
      </w:r>
    </w:p>
    <w:p w:rsidR="00BC277E" w:rsidRPr="007E0174" w:rsidRDefault="00BC277E" w:rsidP="00BC277E">
      <w:pPr>
        <w:pStyle w:val="ListParagraph"/>
        <w:spacing w:line="360" w:lineRule="auto"/>
        <w:ind w:left="0" w:firstLine="851"/>
        <w:jc w:val="both"/>
        <w:rPr>
          <w:sz w:val="22"/>
          <w:szCs w:val="22"/>
        </w:rPr>
      </w:pPr>
      <w:r w:rsidRPr="007E0174">
        <w:rPr>
          <w:sz w:val="22"/>
          <w:szCs w:val="22"/>
        </w:rPr>
        <w:t xml:space="preserve">Penelitian-penelitian terdahulu menjadi landasan dalam merumuskan hipotesis dalam penelitian ini. Terdapat beberapa penelitian mengenai </w:t>
      </w:r>
      <w:r w:rsidR="00A8173C">
        <w:rPr>
          <w:sz w:val="22"/>
          <w:szCs w:val="22"/>
        </w:rPr>
        <w:t>nilai perusahaan</w:t>
      </w:r>
      <w:r w:rsidRPr="007E0174">
        <w:rPr>
          <w:sz w:val="22"/>
          <w:szCs w:val="22"/>
        </w:rPr>
        <w:t xml:space="preserve">, yaitu </w:t>
      </w:r>
      <w:r w:rsidR="00A8173C">
        <w:rPr>
          <w:sz w:val="22"/>
          <w:szCs w:val="22"/>
        </w:rPr>
        <w:t>Juwenda (2014</w:t>
      </w:r>
      <w:r w:rsidRPr="007E0174">
        <w:rPr>
          <w:sz w:val="22"/>
          <w:szCs w:val="22"/>
        </w:rPr>
        <w:t xml:space="preserve">) meneliti mengenai </w:t>
      </w:r>
      <w:r w:rsidR="00A8173C">
        <w:rPr>
          <w:sz w:val="22"/>
          <w:szCs w:val="22"/>
        </w:rPr>
        <w:t>hal yang sama dalam penelitian ini tentang peraturan BI terhadap nilai perusahaan</w:t>
      </w:r>
      <w:r w:rsidRPr="007E0174">
        <w:rPr>
          <w:sz w:val="22"/>
          <w:szCs w:val="22"/>
        </w:rPr>
        <w:t xml:space="preserve"> yang menyatakan bahwa </w:t>
      </w:r>
      <w:r w:rsidR="00A8173C">
        <w:rPr>
          <w:sz w:val="22"/>
          <w:szCs w:val="22"/>
        </w:rPr>
        <w:t>rentabiltas berpengaruh positif terhadap nilai perusahaan.</w:t>
      </w:r>
    </w:p>
    <w:p w:rsidR="00BA1ADD" w:rsidRPr="00C15D80" w:rsidRDefault="00537B57" w:rsidP="00C15D80">
      <w:pPr>
        <w:pStyle w:val="ListParagraph"/>
        <w:spacing w:after="240" w:line="360" w:lineRule="auto"/>
        <w:ind w:left="0" w:firstLine="851"/>
        <w:jc w:val="both"/>
        <w:rPr>
          <w:sz w:val="22"/>
          <w:szCs w:val="22"/>
        </w:rPr>
      </w:pPr>
      <w:r>
        <w:rPr>
          <w:sz w:val="22"/>
          <w:szCs w:val="22"/>
        </w:rPr>
        <w:t>Haerani (2015</w:t>
      </w:r>
      <w:r w:rsidR="00BC277E" w:rsidRPr="007E0174">
        <w:rPr>
          <w:sz w:val="22"/>
          <w:szCs w:val="22"/>
        </w:rPr>
        <w:t xml:space="preserve">) dalam penelitiannya mengenai </w:t>
      </w:r>
      <w:r>
        <w:rPr>
          <w:sz w:val="22"/>
          <w:szCs w:val="22"/>
        </w:rPr>
        <w:t>tingkat kesehatan perbankan</w:t>
      </w:r>
      <w:r w:rsidR="00BC277E" w:rsidRPr="007E0174">
        <w:rPr>
          <w:sz w:val="22"/>
          <w:szCs w:val="22"/>
        </w:rPr>
        <w:t xml:space="preserve"> menunjukkan bahwa</w:t>
      </w:r>
      <w:r>
        <w:rPr>
          <w:sz w:val="22"/>
          <w:szCs w:val="22"/>
        </w:rPr>
        <w:t xml:space="preserve"> rentabilitas sama dengan hasil penelitian Juwenda (2014)</w:t>
      </w:r>
      <w:r w:rsidR="00BC277E" w:rsidRPr="007E0174">
        <w:rPr>
          <w:sz w:val="22"/>
          <w:szCs w:val="22"/>
        </w:rPr>
        <w:t xml:space="preserve"> terdapat</w:t>
      </w:r>
      <w:r>
        <w:rPr>
          <w:sz w:val="22"/>
          <w:szCs w:val="22"/>
        </w:rPr>
        <w:t xml:space="preserve">terdapat pengaruh signifikan terhadap </w:t>
      </w:r>
      <w:r>
        <w:rPr>
          <w:i/>
          <w:sz w:val="22"/>
          <w:szCs w:val="22"/>
        </w:rPr>
        <w:t xml:space="preserve">price book value </w:t>
      </w:r>
      <w:r>
        <w:rPr>
          <w:sz w:val="22"/>
          <w:szCs w:val="22"/>
        </w:rPr>
        <w:t xml:space="preserve">namun dalam penelitian Haerani menunjukan variabel lainnya yang memiliki pengaruh signifikan terhadap </w:t>
      </w:r>
      <w:r>
        <w:rPr>
          <w:i/>
          <w:sz w:val="22"/>
          <w:szCs w:val="22"/>
        </w:rPr>
        <w:t xml:space="preserve">price book value </w:t>
      </w:r>
      <w:r>
        <w:rPr>
          <w:sz w:val="22"/>
          <w:szCs w:val="22"/>
        </w:rPr>
        <w:t>yaitu variabel CAR</w:t>
      </w:r>
      <w:r w:rsidR="00BC277E" w:rsidRPr="007E0174">
        <w:rPr>
          <w:sz w:val="22"/>
          <w:szCs w:val="22"/>
        </w:rPr>
        <w:t>.</w:t>
      </w:r>
    </w:p>
    <w:p w:rsidR="00BC277E" w:rsidRPr="007E0174" w:rsidRDefault="00BC277E" w:rsidP="008E6DCA">
      <w:pPr>
        <w:pStyle w:val="ListParagraph"/>
        <w:numPr>
          <w:ilvl w:val="0"/>
          <w:numId w:val="6"/>
        </w:numPr>
        <w:spacing w:after="60" w:line="360" w:lineRule="auto"/>
        <w:ind w:left="284" w:hanging="284"/>
        <w:jc w:val="both"/>
        <w:rPr>
          <w:b/>
          <w:sz w:val="22"/>
          <w:szCs w:val="22"/>
        </w:rPr>
      </w:pPr>
      <w:r w:rsidRPr="007E0174">
        <w:rPr>
          <w:b/>
          <w:sz w:val="22"/>
          <w:szCs w:val="22"/>
        </w:rPr>
        <w:t>METODE PENELITIAN</w:t>
      </w:r>
    </w:p>
    <w:p w:rsidR="00BC277E" w:rsidRPr="007E0174" w:rsidRDefault="00BC277E" w:rsidP="00537B57">
      <w:pPr>
        <w:pStyle w:val="ListParagraph"/>
        <w:numPr>
          <w:ilvl w:val="0"/>
          <w:numId w:val="7"/>
        </w:numPr>
        <w:spacing w:line="360" w:lineRule="auto"/>
        <w:ind w:left="426" w:hanging="426"/>
        <w:jc w:val="both"/>
        <w:rPr>
          <w:b/>
          <w:i/>
          <w:sz w:val="22"/>
          <w:szCs w:val="22"/>
        </w:rPr>
      </w:pPr>
      <w:r w:rsidRPr="007E0174">
        <w:rPr>
          <w:i/>
          <w:sz w:val="22"/>
          <w:szCs w:val="22"/>
        </w:rPr>
        <w:t>Jenis Penelitian</w:t>
      </w:r>
    </w:p>
    <w:p w:rsidR="00537B57" w:rsidRPr="00537B57" w:rsidRDefault="00537B57" w:rsidP="00537B57">
      <w:pPr>
        <w:spacing w:line="360" w:lineRule="auto"/>
        <w:ind w:firstLine="851"/>
        <w:jc w:val="both"/>
        <w:rPr>
          <w:bCs/>
          <w:sz w:val="22"/>
          <w:szCs w:val="22"/>
        </w:rPr>
      </w:pPr>
      <w:r w:rsidRPr="00537B57">
        <w:rPr>
          <w:bCs/>
          <w:sz w:val="22"/>
          <w:szCs w:val="22"/>
        </w:rPr>
        <w:t xml:space="preserve">Teknik analisis statistik yang digunakan dalam penelitian ini adalah analisis regresi berganda. </w:t>
      </w:r>
      <w:r w:rsidR="0036135D">
        <w:rPr>
          <w:bCs/>
          <w:sz w:val="22"/>
          <w:szCs w:val="22"/>
        </w:rPr>
        <w:t>Menurut sugiono 2010, a</w:t>
      </w:r>
      <w:r w:rsidRPr="00537B57">
        <w:rPr>
          <w:bCs/>
          <w:sz w:val="22"/>
          <w:szCs w:val="22"/>
        </w:rPr>
        <w:t>nalisis regresi berganda (</w:t>
      </w:r>
      <w:r w:rsidRPr="00537B57">
        <w:rPr>
          <w:bCs/>
          <w:i/>
          <w:sz w:val="22"/>
          <w:szCs w:val="22"/>
        </w:rPr>
        <w:t>Multivariate Regression</w:t>
      </w:r>
      <w:r w:rsidRPr="00537B57">
        <w:rPr>
          <w:bCs/>
          <w:sz w:val="22"/>
          <w:szCs w:val="22"/>
        </w:rPr>
        <w:t>) merupakan suatu model dimana variabel terikat tergantung pada dua atau lebih variabel bebas. Analisis ini digunakan untuk mengetahui pengaruh variabel bebas terhadap variabel terikat.</w:t>
      </w:r>
    </w:p>
    <w:p w:rsidR="00BC277E" w:rsidRPr="007E0174" w:rsidRDefault="00BC277E" w:rsidP="00BC277E">
      <w:pPr>
        <w:pStyle w:val="ListParagraph"/>
        <w:numPr>
          <w:ilvl w:val="0"/>
          <w:numId w:val="7"/>
        </w:numPr>
        <w:spacing w:after="200" w:line="360" w:lineRule="auto"/>
        <w:ind w:left="426" w:hanging="426"/>
        <w:jc w:val="both"/>
        <w:rPr>
          <w:b/>
          <w:i/>
          <w:sz w:val="22"/>
          <w:szCs w:val="22"/>
        </w:rPr>
      </w:pPr>
      <w:r w:rsidRPr="007E0174">
        <w:rPr>
          <w:i/>
          <w:sz w:val="22"/>
          <w:szCs w:val="22"/>
        </w:rPr>
        <w:t>Operasional Variabel</w:t>
      </w:r>
    </w:p>
    <w:p w:rsidR="00BC277E" w:rsidRPr="003428CD" w:rsidRDefault="00BC277E" w:rsidP="00BC277E">
      <w:pPr>
        <w:pStyle w:val="ListParagraph"/>
        <w:spacing w:line="360" w:lineRule="auto"/>
        <w:ind w:left="0" w:firstLine="851"/>
        <w:jc w:val="both"/>
        <w:rPr>
          <w:b/>
          <w:sz w:val="22"/>
          <w:szCs w:val="22"/>
        </w:rPr>
      </w:pPr>
      <w:r w:rsidRPr="003428CD">
        <w:rPr>
          <w:sz w:val="22"/>
          <w:szCs w:val="22"/>
        </w:rPr>
        <w:t xml:space="preserve">Adapun variabel </w:t>
      </w:r>
      <w:r w:rsidR="003428CD" w:rsidRPr="003428CD">
        <w:rPr>
          <w:sz w:val="22"/>
          <w:szCs w:val="22"/>
        </w:rPr>
        <w:t xml:space="preserve">dalam penelitian ini dari variabel independen resiko profil dengan kerugian akibat kegagalan pihak debitur memenuhi kewajibannya dengan proksi NPL, resiko pasar </w:t>
      </w:r>
      <w:r w:rsidR="003428CD" w:rsidRPr="003428CD">
        <w:rPr>
          <w:rFonts w:eastAsia="Calibri"/>
          <w:sz w:val="22"/>
          <w:szCs w:val="22"/>
          <w:lang w:eastAsia="id-ID"/>
        </w:rPr>
        <w:t xml:space="preserve"> pada posisi neraca dan rekening administratif termasuk transaksi derivatif, akibat perubahan secara keseluruhan dari kondisi pasar, termasuk risiko perubahan harga </w:t>
      </w:r>
      <w:r w:rsidR="003428CD" w:rsidRPr="003428CD">
        <w:rPr>
          <w:rFonts w:eastAsia="Calibri"/>
          <w:i/>
          <w:sz w:val="22"/>
          <w:szCs w:val="22"/>
          <w:lang w:eastAsia="id-ID"/>
        </w:rPr>
        <w:t>option</w:t>
      </w:r>
      <w:r w:rsidR="003428CD">
        <w:rPr>
          <w:rFonts w:eastAsia="Calibri"/>
          <w:i/>
          <w:sz w:val="22"/>
          <w:szCs w:val="22"/>
          <w:lang w:eastAsia="id-ID"/>
        </w:rPr>
        <w:t xml:space="preserve"> </w:t>
      </w:r>
      <w:r w:rsidR="003428CD">
        <w:rPr>
          <w:rFonts w:eastAsia="Calibri"/>
          <w:sz w:val="22"/>
          <w:szCs w:val="22"/>
          <w:lang w:eastAsia="id-ID"/>
        </w:rPr>
        <w:t xml:space="preserve">dengan proksi PDN, resiko likuiditas </w:t>
      </w:r>
      <w:r w:rsidR="003428CD" w:rsidRPr="00BB7AD2">
        <w:rPr>
          <w:sz w:val="23"/>
          <w:szCs w:val="23"/>
        </w:rPr>
        <w:t>akibat ketidakmampuan bank untuk memenuhi kewajiban yang jatuh tempo dari sumber pendanaan arus kas dan/atau dari aset likuid berkualitas tinggi yang dapat diagunkan tanpa mengganggu aktivitas dan kondisi keuangan bank</w:t>
      </w:r>
      <w:r w:rsidR="003428CD">
        <w:rPr>
          <w:sz w:val="23"/>
          <w:szCs w:val="23"/>
        </w:rPr>
        <w:t xml:space="preserve"> dengan proksi LDR,  untuk komisaris independen dan komite audit menggunakan skala nominal berbeda dengan kepemilikan </w:t>
      </w:r>
      <w:r w:rsidR="00B41836">
        <w:rPr>
          <w:sz w:val="23"/>
          <w:szCs w:val="23"/>
        </w:rPr>
        <w:t>k</w:t>
      </w:r>
      <w:r w:rsidR="003428CD">
        <w:rPr>
          <w:sz w:val="23"/>
          <w:szCs w:val="23"/>
        </w:rPr>
        <w:t xml:space="preserve">onstitutional </w:t>
      </w:r>
      <w:r w:rsidR="00B41836">
        <w:rPr>
          <w:rFonts w:eastAsiaTheme="minorEastAsia"/>
        </w:rPr>
        <w:t xml:space="preserve">presentase saham yang dimiliki oleh perusahaan lain baik yang berada dalam maupun luar negeri serta saham pemerintah dalam maupun luar negeri dengan skala jumlah saham yang dimiliki perbandingan dengan saham yang beredar, </w:t>
      </w:r>
      <w:r w:rsidR="00B41836">
        <w:rPr>
          <w:rFonts w:eastAsiaTheme="minorEastAsia"/>
          <w:i/>
        </w:rPr>
        <w:t xml:space="preserve">earning </w:t>
      </w:r>
      <w:r w:rsidR="00B41836" w:rsidRPr="001A48AC">
        <w:rPr>
          <w:iCs/>
          <w:szCs w:val="24"/>
          <w:bdr w:val="none" w:sz="0" w:space="0" w:color="auto" w:frame="1"/>
          <w:lang w:eastAsia="id-ID"/>
        </w:rPr>
        <w:t>kemampuan perusahaan menghasilkan laba selama periode tertentu</w:t>
      </w:r>
      <w:r w:rsidR="00B41836">
        <w:rPr>
          <w:iCs/>
          <w:szCs w:val="24"/>
          <w:bdr w:val="none" w:sz="0" w:space="0" w:color="auto" w:frame="1"/>
          <w:lang w:eastAsia="id-ID"/>
        </w:rPr>
        <w:t xml:space="preserve"> yang diproksikan dengan skala ukur NIM, </w:t>
      </w:r>
      <w:r w:rsidR="00B41836">
        <w:rPr>
          <w:i/>
          <w:iCs/>
          <w:szCs w:val="24"/>
          <w:bdr w:val="none" w:sz="0" w:space="0" w:color="auto" w:frame="1"/>
          <w:lang w:eastAsia="id-ID"/>
        </w:rPr>
        <w:t xml:space="preserve">capital </w:t>
      </w:r>
      <w:r w:rsidR="00B41836" w:rsidRPr="00BB7AD2">
        <w:rPr>
          <w:sz w:val="23"/>
          <w:szCs w:val="23"/>
        </w:rPr>
        <w:t>merupakan faktor yang penting bagi bank dalam rangka pen</w:t>
      </w:r>
      <w:r w:rsidR="00B41836">
        <w:rPr>
          <w:sz w:val="23"/>
          <w:szCs w:val="23"/>
        </w:rPr>
        <w:t>gembangan usaha dan menampung re</w:t>
      </w:r>
      <w:r w:rsidR="00B41836" w:rsidRPr="00BB7AD2">
        <w:rPr>
          <w:sz w:val="23"/>
          <w:szCs w:val="23"/>
        </w:rPr>
        <w:t>siko kerugian</w:t>
      </w:r>
      <w:r w:rsidR="00B41836">
        <w:rPr>
          <w:sz w:val="23"/>
          <w:szCs w:val="23"/>
        </w:rPr>
        <w:t xml:space="preserve"> dengan modal yang cukup yang menggunakan proksi CAR.</w:t>
      </w:r>
    </w:p>
    <w:p w:rsidR="00BC277E" w:rsidRPr="007E0174" w:rsidRDefault="00BC277E" w:rsidP="00B73A5A">
      <w:pPr>
        <w:pStyle w:val="ListParagraph"/>
        <w:numPr>
          <w:ilvl w:val="0"/>
          <w:numId w:val="7"/>
        </w:numPr>
        <w:spacing w:line="360" w:lineRule="auto"/>
        <w:ind w:left="426" w:hanging="426"/>
        <w:jc w:val="both"/>
        <w:rPr>
          <w:b/>
          <w:i/>
          <w:sz w:val="22"/>
          <w:szCs w:val="22"/>
        </w:rPr>
      </w:pPr>
      <w:r w:rsidRPr="007E0174">
        <w:rPr>
          <w:i/>
          <w:sz w:val="22"/>
          <w:szCs w:val="22"/>
        </w:rPr>
        <w:t>Teknik Analisis Data</w:t>
      </w:r>
    </w:p>
    <w:p w:rsidR="00BC277E" w:rsidRPr="00B73A5A" w:rsidRDefault="00BC277E" w:rsidP="00BA1ADD">
      <w:pPr>
        <w:autoSpaceDE w:val="0"/>
        <w:autoSpaceDN w:val="0"/>
        <w:adjustRightInd w:val="0"/>
        <w:spacing w:after="100" w:line="360" w:lineRule="auto"/>
        <w:ind w:firstLine="851"/>
        <w:jc w:val="both"/>
        <w:rPr>
          <w:sz w:val="22"/>
          <w:szCs w:val="22"/>
        </w:rPr>
      </w:pPr>
      <w:r w:rsidRPr="00B73A5A">
        <w:rPr>
          <w:sz w:val="22"/>
          <w:szCs w:val="22"/>
        </w:rPr>
        <w:t>Setelah dilakukan uji statistik deskriptif untuk mendapatkan gam</w:t>
      </w:r>
      <w:r w:rsidR="00B73A5A" w:rsidRPr="00B73A5A">
        <w:rPr>
          <w:sz w:val="22"/>
          <w:szCs w:val="22"/>
        </w:rPr>
        <w:t>baran mengenai keseluruhan data</w:t>
      </w:r>
      <w:r w:rsidRPr="00B73A5A">
        <w:rPr>
          <w:sz w:val="22"/>
          <w:szCs w:val="22"/>
        </w:rPr>
        <w:t xml:space="preserve">sampel penelitian, selanjutnya akan dilakukan uji normalitas data menggunakan </w:t>
      </w:r>
      <w:r w:rsidR="00B73A5A" w:rsidRPr="00B73A5A">
        <w:rPr>
          <w:sz w:val="22"/>
          <w:szCs w:val="22"/>
        </w:rPr>
        <w:t>normalitas propability plot</w:t>
      </w:r>
      <w:r w:rsidR="00B73A5A">
        <w:rPr>
          <w:sz w:val="22"/>
          <w:szCs w:val="22"/>
        </w:rPr>
        <w:t xml:space="preserve">. Yang </w:t>
      </w:r>
      <w:r w:rsidR="00B73A5A" w:rsidRPr="00B73A5A">
        <w:rPr>
          <w:sz w:val="22"/>
          <w:szCs w:val="22"/>
        </w:rPr>
        <w:t xml:space="preserve"> menunjukan</w:t>
      </w:r>
      <w:r w:rsidR="00B73A5A">
        <w:rPr>
          <w:sz w:val="22"/>
          <w:szCs w:val="22"/>
        </w:rPr>
        <w:t xml:space="preserve"> hasil penelitian ini</w:t>
      </w:r>
      <w:r w:rsidR="00B73A5A" w:rsidRPr="00B73A5A">
        <w:rPr>
          <w:sz w:val="22"/>
          <w:szCs w:val="22"/>
        </w:rPr>
        <w:t xml:space="preserve"> bahwa penyebaran data berada di sekitar garis diagonal dan mengikuti garis diagonal, hal ini mengindikasikan bahwa data menunjukan pola distribusi normal.</w:t>
      </w:r>
    </w:p>
    <w:p w:rsidR="00BC277E" w:rsidRPr="007E0174" w:rsidRDefault="00BC277E" w:rsidP="008E6DCA">
      <w:pPr>
        <w:pStyle w:val="ListParagraph"/>
        <w:numPr>
          <w:ilvl w:val="0"/>
          <w:numId w:val="6"/>
        </w:numPr>
        <w:spacing w:after="60" w:line="360" w:lineRule="auto"/>
        <w:ind w:left="284" w:hanging="284"/>
        <w:jc w:val="both"/>
        <w:rPr>
          <w:b/>
          <w:sz w:val="22"/>
          <w:szCs w:val="22"/>
        </w:rPr>
      </w:pPr>
      <w:r w:rsidRPr="007E0174">
        <w:rPr>
          <w:b/>
          <w:sz w:val="22"/>
          <w:szCs w:val="22"/>
        </w:rPr>
        <w:t>HASIL DAN PEMBAHASAN</w:t>
      </w:r>
    </w:p>
    <w:p w:rsidR="00B73A5A" w:rsidRPr="00B73A5A" w:rsidRDefault="00BC277E" w:rsidP="00B73A5A">
      <w:pPr>
        <w:pStyle w:val="ListParagraph"/>
        <w:numPr>
          <w:ilvl w:val="0"/>
          <w:numId w:val="8"/>
        </w:numPr>
        <w:spacing w:line="360" w:lineRule="auto"/>
        <w:ind w:left="426" w:hanging="426"/>
        <w:jc w:val="both"/>
        <w:rPr>
          <w:b/>
          <w:sz w:val="22"/>
          <w:szCs w:val="22"/>
        </w:rPr>
      </w:pPr>
      <w:r w:rsidRPr="007E0174">
        <w:rPr>
          <w:i/>
          <w:sz w:val="22"/>
          <w:szCs w:val="22"/>
        </w:rPr>
        <w:t>Hasil Penelitian</w:t>
      </w:r>
    </w:p>
    <w:p w:rsidR="00B73A5A" w:rsidRPr="00B73A5A" w:rsidRDefault="00B73A5A" w:rsidP="00B73A5A">
      <w:pPr>
        <w:spacing w:line="360" w:lineRule="auto"/>
        <w:ind w:firstLine="851"/>
        <w:jc w:val="both"/>
        <w:rPr>
          <w:b/>
          <w:sz w:val="22"/>
          <w:szCs w:val="22"/>
        </w:rPr>
      </w:pPr>
      <w:r w:rsidRPr="00B73A5A">
        <w:rPr>
          <w:sz w:val="22"/>
          <w:szCs w:val="22"/>
        </w:rPr>
        <w:t xml:space="preserve">Analisis deskriptif dari data yang diambil untuk penelitian ini adalah data sekunder berupa </w:t>
      </w:r>
      <w:r w:rsidRPr="00B73A5A">
        <w:rPr>
          <w:i/>
          <w:sz w:val="22"/>
          <w:szCs w:val="22"/>
        </w:rPr>
        <w:t>annual report</w:t>
      </w:r>
      <w:r w:rsidRPr="00B73A5A">
        <w:rPr>
          <w:sz w:val="22"/>
          <w:szCs w:val="22"/>
        </w:rPr>
        <w:t xml:space="preserve"> sebanyak 23 perusahaan perbankanyang </w:t>
      </w:r>
      <w:r w:rsidRPr="00B73A5A">
        <w:rPr>
          <w:i/>
          <w:sz w:val="22"/>
          <w:szCs w:val="22"/>
        </w:rPr>
        <w:t xml:space="preserve">listing </w:t>
      </w:r>
      <w:r w:rsidRPr="00B73A5A">
        <w:rPr>
          <w:sz w:val="22"/>
          <w:szCs w:val="22"/>
        </w:rPr>
        <w:t>di Bursa Efek Indonesia hinggga tanggal 31 Desember 2014. Berikut ini tabel statistik deskriptif untuk masing-masing variabel penelitian:</w:t>
      </w:r>
    </w:p>
    <w:p w:rsidR="00BA1ADD" w:rsidRPr="008E6DCA" w:rsidRDefault="00BA1ADD" w:rsidP="008E6DCA">
      <w:pPr>
        <w:spacing w:after="200" w:line="360" w:lineRule="auto"/>
        <w:jc w:val="both"/>
        <w:rPr>
          <w:b/>
          <w:sz w:val="22"/>
          <w:szCs w:val="22"/>
        </w:rPr>
      </w:pPr>
    </w:p>
    <w:p w:rsidR="00BC277E" w:rsidRPr="007E0174" w:rsidRDefault="00BC277E" w:rsidP="00BE3BC2">
      <w:pPr>
        <w:pStyle w:val="ListParagraph"/>
        <w:ind w:left="0"/>
        <w:jc w:val="center"/>
        <w:rPr>
          <w:sz w:val="22"/>
          <w:szCs w:val="22"/>
        </w:rPr>
      </w:pPr>
      <w:r w:rsidRPr="007E0174">
        <w:rPr>
          <w:sz w:val="22"/>
          <w:szCs w:val="22"/>
        </w:rPr>
        <w:t>Tabel 4.3</w:t>
      </w:r>
    </w:p>
    <w:p w:rsidR="00BC277E" w:rsidRPr="007E0174" w:rsidRDefault="00BC277E" w:rsidP="00BE3BC2">
      <w:pPr>
        <w:pStyle w:val="ListParagraph"/>
        <w:ind w:left="0"/>
        <w:jc w:val="center"/>
        <w:rPr>
          <w:sz w:val="22"/>
          <w:szCs w:val="22"/>
        </w:rPr>
      </w:pPr>
      <w:r w:rsidRPr="007E0174">
        <w:rPr>
          <w:sz w:val="22"/>
          <w:szCs w:val="22"/>
        </w:rPr>
        <w:t xml:space="preserve">Statistik Deskriptif </w:t>
      </w:r>
    </w:p>
    <w:tbl>
      <w:tblPr>
        <w:tblW w:w="8769" w:type="dxa"/>
        <w:jc w:val="center"/>
        <w:tblInd w:w="-3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46"/>
        <w:gridCol w:w="425"/>
        <w:gridCol w:w="1276"/>
        <w:gridCol w:w="1276"/>
        <w:gridCol w:w="1276"/>
        <w:gridCol w:w="2370"/>
      </w:tblGrid>
      <w:tr w:rsidR="00B73A5A" w:rsidRPr="00E85D81" w:rsidTr="00B73A5A">
        <w:trPr>
          <w:cantSplit/>
          <w:trHeight w:val="220"/>
          <w:jc w:val="center"/>
        </w:trPr>
        <w:tc>
          <w:tcPr>
            <w:tcW w:w="8769" w:type="dxa"/>
            <w:gridSpan w:val="6"/>
            <w:tcBorders>
              <w:top w:val="nil"/>
              <w:left w:val="nil"/>
              <w:bottom w:val="nil"/>
              <w:right w:val="nil"/>
            </w:tcBorders>
            <w:shd w:val="clear" w:color="auto" w:fill="FFFFFF"/>
            <w:vAlign w:val="center"/>
          </w:tcPr>
          <w:p w:rsidR="00B73A5A" w:rsidRPr="00E85D81" w:rsidRDefault="00B73A5A" w:rsidP="00F51824">
            <w:pPr>
              <w:autoSpaceDE w:val="0"/>
              <w:autoSpaceDN w:val="0"/>
              <w:adjustRightInd w:val="0"/>
              <w:ind w:left="60" w:right="60"/>
              <w:jc w:val="center"/>
              <w:rPr>
                <w:color w:val="000000"/>
              </w:rPr>
            </w:pPr>
            <w:r>
              <w:rPr>
                <w:b/>
                <w:bCs/>
                <w:color w:val="000000"/>
              </w:rPr>
              <w:t xml:space="preserve"> </w:t>
            </w:r>
            <w:r w:rsidRPr="00E85D81">
              <w:rPr>
                <w:b/>
                <w:bCs/>
                <w:color w:val="000000"/>
              </w:rPr>
              <w:t>Descriptive Statistics</w:t>
            </w:r>
          </w:p>
        </w:tc>
      </w:tr>
      <w:tr w:rsidR="00B73A5A" w:rsidRPr="00E85D81" w:rsidTr="00B73A5A">
        <w:trPr>
          <w:cantSplit/>
          <w:trHeight w:val="440"/>
          <w:jc w:val="center"/>
        </w:trPr>
        <w:tc>
          <w:tcPr>
            <w:tcW w:w="2146"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B73A5A" w:rsidRPr="00B73A5A" w:rsidRDefault="00B73A5A" w:rsidP="00F51824">
            <w:pPr>
              <w:autoSpaceDE w:val="0"/>
              <w:autoSpaceDN w:val="0"/>
              <w:adjustRightInd w:val="0"/>
              <w:rPr>
                <w:sz w:val="18"/>
                <w:szCs w:val="18"/>
              </w:rPr>
            </w:pPr>
          </w:p>
        </w:tc>
        <w:tc>
          <w:tcPr>
            <w:tcW w:w="425" w:type="dxa"/>
            <w:tcBorders>
              <w:top w:val="single" w:sz="16" w:space="0" w:color="000000"/>
              <w:left w:val="single" w:sz="16" w:space="0" w:color="000000"/>
              <w:bottom w:val="single" w:sz="16" w:space="0" w:color="000000"/>
            </w:tcBorders>
            <w:shd w:val="clear" w:color="auto" w:fill="FFFFFF"/>
            <w:vAlign w:val="bottom"/>
          </w:tcPr>
          <w:p w:rsidR="00B73A5A" w:rsidRPr="00B73A5A" w:rsidRDefault="00B73A5A" w:rsidP="00F51824">
            <w:pPr>
              <w:autoSpaceDE w:val="0"/>
              <w:autoSpaceDN w:val="0"/>
              <w:adjustRightInd w:val="0"/>
              <w:ind w:left="60" w:right="60"/>
              <w:jc w:val="center"/>
              <w:rPr>
                <w:color w:val="000000"/>
                <w:sz w:val="18"/>
                <w:szCs w:val="18"/>
              </w:rPr>
            </w:pPr>
            <w:r w:rsidRPr="00B73A5A">
              <w:rPr>
                <w:color w:val="000000"/>
                <w:sz w:val="18"/>
                <w:szCs w:val="18"/>
              </w:rPr>
              <w:t xml:space="preserve">       N</w:t>
            </w:r>
          </w:p>
        </w:tc>
        <w:tc>
          <w:tcPr>
            <w:tcW w:w="1276" w:type="dxa"/>
            <w:tcBorders>
              <w:top w:val="single" w:sz="16" w:space="0" w:color="000000"/>
              <w:bottom w:val="single" w:sz="16" w:space="0" w:color="000000"/>
            </w:tcBorders>
            <w:shd w:val="clear" w:color="auto" w:fill="FFFFFF"/>
            <w:vAlign w:val="bottom"/>
          </w:tcPr>
          <w:p w:rsidR="00B73A5A" w:rsidRPr="00B73A5A" w:rsidRDefault="00B73A5A" w:rsidP="00F51824">
            <w:pPr>
              <w:autoSpaceDE w:val="0"/>
              <w:autoSpaceDN w:val="0"/>
              <w:adjustRightInd w:val="0"/>
              <w:ind w:left="60" w:right="60"/>
              <w:jc w:val="center"/>
              <w:rPr>
                <w:color w:val="000000"/>
                <w:sz w:val="18"/>
                <w:szCs w:val="18"/>
              </w:rPr>
            </w:pPr>
            <w:r w:rsidRPr="00B73A5A">
              <w:rPr>
                <w:color w:val="000000"/>
                <w:sz w:val="18"/>
                <w:szCs w:val="18"/>
              </w:rPr>
              <w:t xml:space="preserve">      Minimum</w:t>
            </w:r>
          </w:p>
        </w:tc>
        <w:tc>
          <w:tcPr>
            <w:tcW w:w="1276" w:type="dxa"/>
            <w:tcBorders>
              <w:top w:val="single" w:sz="16" w:space="0" w:color="000000"/>
              <w:bottom w:val="single" w:sz="16" w:space="0" w:color="000000"/>
            </w:tcBorders>
            <w:shd w:val="clear" w:color="auto" w:fill="FFFFFF"/>
            <w:vAlign w:val="bottom"/>
          </w:tcPr>
          <w:p w:rsidR="00B73A5A" w:rsidRPr="00B73A5A" w:rsidRDefault="00B73A5A" w:rsidP="00F51824">
            <w:pPr>
              <w:autoSpaceDE w:val="0"/>
              <w:autoSpaceDN w:val="0"/>
              <w:adjustRightInd w:val="0"/>
              <w:ind w:left="60" w:right="60"/>
              <w:jc w:val="center"/>
              <w:rPr>
                <w:color w:val="000000"/>
                <w:sz w:val="18"/>
                <w:szCs w:val="18"/>
              </w:rPr>
            </w:pPr>
            <w:r w:rsidRPr="00B73A5A">
              <w:rPr>
                <w:color w:val="000000"/>
                <w:sz w:val="18"/>
                <w:szCs w:val="18"/>
              </w:rPr>
              <w:t xml:space="preserve">      Maximum</w:t>
            </w:r>
          </w:p>
        </w:tc>
        <w:tc>
          <w:tcPr>
            <w:tcW w:w="1276" w:type="dxa"/>
            <w:tcBorders>
              <w:top w:val="single" w:sz="16" w:space="0" w:color="000000"/>
              <w:bottom w:val="single" w:sz="16" w:space="0" w:color="000000"/>
            </w:tcBorders>
            <w:shd w:val="clear" w:color="auto" w:fill="FFFFFF"/>
            <w:vAlign w:val="bottom"/>
          </w:tcPr>
          <w:p w:rsidR="00B73A5A" w:rsidRPr="00B73A5A" w:rsidRDefault="00B73A5A" w:rsidP="00F51824">
            <w:pPr>
              <w:autoSpaceDE w:val="0"/>
              <w:autoSpaceDN w:val="0"/>
              <w:adjustRightInd w:val="0"/>
              <w:ind w:left="60" w:right="60"/>
              <w:jc w:val="center"/>
              <w:rPr>
                <w:color w:val="000000"/>
                <w:sz w:val="18"/>
                <w:szCs w:val="18"/>
              </w:rPr>
            </w:pPr>
            <w:r w:rsidRPr="00B73A5A">
              <w:rPr>
                <w:color w:val="000000"/>
                <w:sz w:val="18"/>
                <w:szCs w:val="18"/>
              </w:rPr>
              <w:t xml:space="preserve">      Mean</w:t>
            </w:r>
          </w:p>
        </w:tc>
        <w:tc>
          <w:tcPr>
            <w:tcW w:w="2370" w:type="dxa"/>
            <w:tcBorders>
              <w:top w:val="single" w:sz="16" w:space="0" w:color="000000"/>
              <w:bottom w:val="single" w:sz="16" w:space="0" w:color="000000"/>
              <w:right w:val="single" w:sz="16" w:space="0" w:color="000000"/>
            </w:tcBorders>
            <w:shd w:val="clear" w:color="auto" w:fill="FFFFFF"/>
            <w:vAlign w:val="bottom"/>
          </w:tcPr>
          <w:p w:rsidR="00B73A5A" w:rsidRPr="00B73A5A" w:rsidRDefault="00B73A5A" w:rsidP="00F51824">
            <w:pPr>
              <w:autoSpaceDE w:val="0"/>
              <w:autoSpaceDN w:val="0"/>
              <w:adjustRightInd w:val="0"/>
              <w:ind w:left="60" w:right="60"/>
              <w:jc w:val="center"/>
              <w:rPr>
                <w:color w:val="000000"/>
                <w:sz w:val="18"/>
                <w:szCs w:val="18"/>
              </w:rPr>
            </w:pPr>
            <w:r w:rsidRPr="00B73A5A">
              <w:rPr>
                <w:color w:val="000000"/>
                <w:sz w:val="18"/>
                <w:szCs w:val="18"/>
              </w:rPr>
              <w:t xml:space="preserve">       Std. Deviation</w:t>
            </w:r>
          </w:p>
        </w:tc>
      </w:tr>
      <w:tr w:rsidR="00B73A5A" w:rsidRPr="00E85D81" w:rsidTr="00B73A5A">
        <w:trPr>
          <w:cantSplit/>
          <w:trHeight w:val="220"/>
          <w:jc w:val="center"/>
        </w:trPr>
        <w:tc>
          <w:tcPr>
            <w:tcW w:w="2146" w:type="dxa"/>
            <w:tcBorders>
              <w:top w:val="single" w:sz="16" w:space="0" w:color="000000"/>
              <w:left w:val="single" w:sz="16" w:space="0" w:color="000000"/>
              <w:bottom w:val="nil"/>
              <w:right w:val="single" w:sz="16" w:space="0" w:color="000000"/>
            </w:tcBorders>
            <w:shd w:val="clear" w:color="auto" w:fill="FFFFFF"/>
          </w:tcPr>
          <w:p w:rsidR="00B73A5A" w:rsidRPr="00B73A5A" w:rsidRDefault="00B73A5A" w:rsidP="00B73A5A">
            <w:pPr>
              <w:autoSpaceDE w:val="0"/>
              <w:autoSpaceDN w:val="0"/>
              <w:adjustRightInd w:val="0"/>
              <w:ind w:right="60"/>
              <w:rPr>
                <w:color w:val="000000"/>
                <w:sz w:val="18"/>
                <w:szCs w:val="18"/>
              </w:rPr>
            </w:pPr>
            <w:r w:rsidRPr="00B73A5A">
              <w:rPr>
                <w:color w:val="000000"/>
                <w:sz w:val="18"/>
                <w:szCs w:val="18"/>
              </w:rPr>
              <w:t xml:space="preserve"> </w:t>
            </w:r>
            <w:r>
              <w:rPr>
                <w:color w:val="000000"/>
                <w:sz w:val="18"/>
                <w:szCs w:val="18"/>
              </w:rPr>
              <w:t xml:space="preserve">  </w:t>
            </w:r>
            <w:r w:rsidRPr="00B73A5A">
              <w:rPr>
                <w:color w:val="000000"/>
                <w:sz w:val="18"/>
                <w:szCs w:val="18"/>
              </w:rPr>
              <w:t>NPL</w:t>
            </w:r>
          </w:p>
        </w:tc>
        <w:tc>
          <w:tcPr>
            <w:tcW w:w="425" w:type="dxa"/>
            <w:tcBorders>
              <w:top w:val="single" w:sz="16" w:space="0" w:color="000000"/>
              <w:left w:val="single" w:sz="16" w:space="0" w:color="000000"/>
              <w:bottom w:val="nil"/>
            </w:tcBorders>
            <w:shd w:val="clear" w:color="auto" w:fill="FFFFFF"/>
            <w:vAlign w:val="center"/>
          </w:tcPr>
          <w:p w:rsidR="00B73A5A" w:rsidRPr="00B73A5A" w:rsidRDefault="00B73A5A" w:rsidP="00F51824">
            <w:pPr>
              <w:autoSpaceDE w:val="0"/>
              <w:autoSpaceDN w:val="0"/>
              <w:adjustRightInd w:val="0"/>
              <w:ind w:left="60" w:right="60"/>
              <w:jc w:val="right"/>
              <w:rPr>
                <w:color w:val="000000"/>
                <w:sz w:val="18"/>
                <w:szCs w:val="18"/>
              </w:rPr>
            </w:pPr>
            <w:r w:rsidRPr="00B73A5A">
              <w:rPr>
                <w:color w:val="000000"/>
                <w:sz w:val="18"/>
                <w:szCs w:val="18"/>
              </w:rPr>
              <w:t>23</w:t>
            </w:r>
          </w:p>
        </w:tc>
        <w:tc>
          <w:tcPr>
            <w:tcW w:w="1276" w:type="dxa"/>
            <w:tcBorders>
              <w:top w:val="single" w:sz="16" w:space="0" w:color="000000"/>
              <w:bottom w:val="nil"/>
            </w:tcBorders>
            <w:shd w:val="clear" w:color="auto" w:fill="FFFFFF"/>
            <w:vAlign w:val="center"/>
          </w:tcPr>
          <w:p w:rsidR="00B73A5A" w:rsidRPr="00B73A5A" w:rsidRDefault="00B73A5A" w:rsidP="00F51824">
            <w:pPr>
              <w:autoSpaceDE w:val="0"/>
              <w:autoSpaceDN w:val="0"/>
              <w:adjustRightInd w:val="0"/>
              <w:ind w:left="60" w:right="60"/>
              <w:jc w:val="right"/>
              <w:rPr>
                <w:color w:val="000000"/>
                <w:sz w:val="18"/>
                <w:szCs w:val="18"/>
              </w:rPr>
            </w:pPr>
            <w:r w:rsidRPr="00B73A5A">
              <w:rPr>
                <w:color w:val="000000"/>
                <w:sz w:val="18"/>
                <w:szCs w:val="18"/>
              </w:rPr>
              <w:t>.31</w:t>
            </w:r>
          </w:p>
        </w:tc>
        <w:tc>
          <w:tcPr>
            <w:tcW w:w="1276" w:type="dxa"/>
            <w:tcBorders>
              <w:top w:val="single" w:sz="16" w:space="0" w:color="000000"/>
              <w:bottom w:val="nil"/>
            </w:tcBorders>
            <w:shd w:val="clear" w:color="auto" w:fill="FFFFFF"/>
            <w:vAlign w:val="center"/>
          </w:tcPr>
          <w:p w:rsidR="00B73A5A" w:rsidRPr="00B73A5A" w:rsidRDefault="00B73A5A" w:rsidP="00F51824">
            <w:pPr>
              <w:autoSpaceDE w:val="0"/>
              <w:autoSpaceDN w:val="0"/>
              <w:adjustRightInd w:val="0"/>
              <w:ind w:left="60" w:right="60"/>
              <w:jc w:val="right"/>
              <w:rPr>
                <w:color w:val="000000"/>
                <w:sz w:val="18"/>
                <w:szCs w:val="18"/>
              </w:rPr>
            </w:pPr>
            <w:r w:rsidRPr="00B73A5A">
              <w:rPr>
                <w:color w:val="000000"/>
                <w:sz w:val="18"/>
                <w:szCs w:val="18"/>
              </w:rPr>
              <w:t>5.88</w:t>
            </w:r>
          </w:p>
        </w:tc>
        <w:tc>
          <w:tcPr>
            <w:tcW w:w="1276" w:type="dxa"/>
            <w:tcBorders>
              <w:top w:val="single" w:sz="16" w:space="0" w:color="000000"/>
              <w:bottom w:val="nil"/>
            </w:tcBorders>
            <w:shd w:val="clear" w:color="auto" w:fill="FFFFFF"/>
            <w:vAlign w:val="center"/>
          </w:tcPr>
          <w:p w:rsidR="00B73A5A" w:rsidRPr="00B73A5A" w:rsidRDefault="00B73A5A" w:rsidP="00F51824">
            <w:pPr>
              <w:autoSpaceDE w:val="0"/>
              <w:autoSpaceDN w:val="0"/>
              <w:adjustRightInd w:val="0"/>
              <w:ind w:left="60" w:right="60"/>
              <w:jc w:val="right"/>
              <w:rPr>
                <w:color w:val="000000"/>
                <w:sz w:val="18"/>
                <w:szCs w:val="18"/>
              </w:rPr>
            </w:pPr>
            <w:r w:rsidRPr="00B73A5A">
              <w:rPr>
                <w:color w:val="000000"/>
                <w:sz w:val="18"/>
                <w:szCs w:val="18"/>
              </w:rPr>
              <w:t>2.5500</w:t>
            </w:r>
          </w:p>
        </w:tc>
        <w:tc>
          <w:tcPr>
            <w:tcW w:w="2370" w:type="dxa"/>
            <w:tcBorders>
              <w:top w:val="single" w:sz="16" w:space="0" w:color="000000"/>
              <w:bottom w:val="nil"/>
              <w:right w:val="single" w:sz="16" w:space="0" w:color="000000"/>
            </w:tcBorders>
            <w:shd w:val="clear" w:color="auto" w:fill="FFFFFF"/>
            <w:vAlign w:val="center"/>
          </w:tcPr>
          <w:p w:rsidR="00B73A5A" w:rsidRPr="00B73A5A" w:rsidRDefault="00B73A5A" w:rsidP="00F51824">
            <w:pPr>
              <w:autoSpaceDE w:val="0"/>
              <w:autoSpaceDN w:val="0"/>
              <w:adjustRightInd w:val="0"/>
              <w:ind w:left="60" w:right="60"/>
              <w:jc w:val="right"/>
              <w:rPr>
                <w:color w:val="000000"/>
                <w:sz w:val="18"/>
                <w:szCs w:val="18"/>
              </w:rPr>
            </w:pPr>
            <w:r w:rsidRPr="00B73A5A">
              <w:rPr>
                <w:color w:val="000000"/>
                <w:sz w:val="18"/>
                <w:szCs w:val="18"/>
              </w:rPr>
              <w:t>1.47049</w:t>
            </w:r>
          </w:p>
        </w:tc>
      </w:tr>
      <w:tr w:rsidR="00B73A5A" w:rsidRPr="00E85D81" w:rsidTr="00B73A5A">
        <w:trPr>
          <w:cantSplit/>
          <w:trHeight w:val="220"/>
          <w:jc w:val="center"/>
        </w:trPr>
        <w:tc>
          <w:tcPr>
            <w:tcW w:w="2146" w:type="dxa"/>
            <w:tcBorders>
              <w:top w:val="nil"/>
              <w:left w:val="single" w:sz="16" w:space="0" w:color="000000"/>
              <w:bottom w:val="nil"/>
              <w:right w:val="single" w:sz="16" w:space="0" w:color="000000"/>
            </w:tcBorders>
            <w:shd w:val="clear" w:color="auto" w:fill="FFFFFF"/>
          </w:tcPr>
          <w:p w:rsidR="00B73A5A" w:rsidRPr="00B73A5A" w:rsidRDefault="00B73A5A" w:rsidP="00B73A5A">
            <w:pPr>
              <w:autoSpaceDE w:val="0"/>
              <w:autoSpaceDN w:val="0"/>
              <w:adjustRightInd w:val="0"/>
              <w:ind w:right="60"/>
              <w:rPr>
                <w:color w:val="000000"/>
                <w:sz w:val="18"/>
                <w:szCs w:val="18"/>
              </w:rPr>
            </w:pPr>
            <w:r>
              <w:rPr>
                <w:color w:val="000000"/>
                <w:sz w:val="18"/>
                <w:szCs w:val="18"/>
              </w:rPr>
              <w:t xml:space="preserve">   </w:t>
            </w:r>
            <w:r w:rsidRPr="00B73A5A">
              <w:rPr>
                <w:color w:val="000000"/>
                <w:sz w:val="18"/>
                <w:szCs w:val="18"/>
              </w:rPr>
              <w:t>PDN</w:t>
            </w:r>
          </w:p>
        </w:tc>
        <w:tc>
          <w:tcPr>
            <w:tcW w:w="425" w:type="dxa"/>
            <w:tcBorders>
              <w:top w:val="nil"/>
              <w:left w:val="single" w:sz="16" w:space="0" w:color="000000"/>
              <w:bottom w:val="nil"/>
            </w:tcBorders>
            <w:shd w:val="clear" w:color="auto" w:fill="FFFFFF"/>
            <w:vAlign w:val="center"/>
          </w:tcPr>
          <w:p w:rsidR="00B73A5A" w:rsidRPr="00B73A5A" w:rsidRDefault="00B73A5A" w:rsidP="00F51824">
            <w:pPr>
              <w:autoSpaceDE w:val="0"/>
              <w:autoSpaceDN w:val="0"/>
              <w:adjustRightInd w:val="0"/>
              <w:ind w:left="60" w:right="60"/>
              <w:jc w:val="right"/>
              <w:rPr>
                <w:color w:val="000000"/>
                <w:sz w:val="18"/>
                <w:szCs w:val="18"/>
              </w:rPr>
            </w:pPr>
            <w:r w:rsidRPr="00B73A5A">
              <w:rPr>
                <w:color w:val="000000"/>
                <w:sz w:val="18"/>
                <w:szCs w:val="18"/>
              </w:rPr>
              <w:t>23</w:t>
            </w:r>
          </w:p>
        </w:tc>
        <w:tc>
          <w:tcPr>
            <w:tcW w:w="1276" w:type="dxa"/>
            <w:tcBorders>
              <w:top w:val="nil"/>
              <w:bottom w:val="nil"/>
            </w:tcBorders>
            <w:shd w:val="clear" w:color="auto" w:fill="FFFFFF"/>
            <w:vAlign w:val="center"/>
          </w:tcPr>
          <w:p w:rsidR="00B73A5A" w:rsidRPr="00B73A5A" w:rsidRDefault="00B73A5A" w:rsidP="00F51824">
            <w:pPr>
              <w:autoSpaceDE w:val="0"/>
              <w:autoSpaceDN w:val="0"/>
              <w:adjustRightInd w:val="0"/>
              <w:ind w:left="60" w:right="60"/>
              <w:jc w:val="right"/>
              <w:rPr>
                <w:color w:val="000000"/>
                <w:sz w:val="18"/>
                <w:szCs w:val="18"/>
              </w:rPr>
            </w:pPr>
            <w:r w:rsidRPr="00B73A5A">
              <w:rPr>
                <w:color w:val="000000"/>
                <w:sz w:val="18"/>
                <w:szCs w:val="18"/>
              </w:rPr>
              <w:t>.18</w:t>
            </w:r>
          </w:p>
        </w:tc>
        <w:tc>
          <w:tcPr>
            <w:tcW w:w="1276" w:type="dxa"/>
            <w:tcBorders>
              <w:top w:val="nil"/>
              <w:bottom w:val="nil"/>
            </w:tcBorders>
            <w:shd w:val="clear" w:color="auto" w:fill="FFFFFF"/>
            <w:vAlign w:val="center"/>
          </w:tcPr>
          <w:p w:rsidR="00B73A5A" w:rsidRPr="00B73A5A" w:rsidRDefault="00B73A5A" w:rsidP="00F51824">
            <w:pPr>
              <w:autoSpaceDE w:val="0"/>
              <w:autoSpaceDN w:val="0"/>
              <w:adjustRightInd w:val="0"/>
              <w:ind w:left="60" w:right="60"/>
              <w:jc w:val="right"/>
              <w:rPr>
                <w:color w:val="000000"/>
                <w:sz w:val="18"/>
                <w:szCs w:val="18"/>
              </w:rPr>
            </w:pPr>
            <w:r w:rsidRPr="00B73A5A">
              <w:rPr>
                <w:color w:val="000000"/>
                <w:sz w:val="18"/>
                <w:szCs w:val="18"/>
              </w:rPr>
              <w:t>5.58</w:t>
            </w:r>
          </w:p>
        </w:tc>
        <w:tc>
          <w:tcPr>
            <w:tcW w:w="1276" w:type="dxa"/>
            <w:tcBorders>
              <w:top w:val="nil"/>
              <w:bottom w:val="nil"/>
            </w:tcBorders>
            <w:shd w:val="clear" w:color="auto" w:fill="FFFFFF"/>
            <w:vAlign w:val="center"/>
          </w:tcPr>
          <w:p w:rsidR="00B73A5A" w:rsidRPr="00B73A5A" w:rsidRDefault="00B73A5A" w:rsidP="00F51824">
            <w:pPr>
              <w:autoSpaceDE w:val="0"/>
              <w:autoSpaceDN w:val="0"/>
              <w:adjustRightInd w:val="0"/>
              <w:ind w:left="60" w:right="60"/>
              <w:jc w:val="right"/>
              <w:rPr>
                <w:color w:val="000000"/>
                <w:sz w:val="18"/>
                <w:szCs w:val="18"/>
              </w:rPr>
            </w:pPr>
            <w:r w:rsidRPr="00B73A5A">
              <w:rPr>
                <w:color w:val="000000"/>
                <w:sz w:val="18"/>
                <w:szCs w:val="18"/>
              </w:rPr>
              <w:t>1.9222</w:t>
            </w:r>
          </w:p>
        </w:tc>
        <w:tc>
          <w:tcPr>
            <w:tcW w:w="2370" w:type="dxa"/>
            <w:tcBorders>
              <w:top w:val="nil"/>
              <w:bottom w:val="nil"/>
              <w:right w:val="single" w:sz="16" w:space="0" w:color="000000"/>
            </w:tcBorders>
            <w:shd w:val="clear" w:color="auto" w:fill="FFFFFF"/>
            <w:vAlign w:val="center"/>
          </w:tcPr>
          <w:p w:rsidR="00B73A5A" w:rsidRPr="00B73A5A" w:rsidRDefault="00B73A5A" w:rsidP="00F51824">
            <w:pPr>
              <w:autoSpaceDE w:val="0"/>
              <w:autoSpaceDN w:val="0"/>
              <w:adjustRightInd w:val="0"/>
              <w:ind w:left="60" w:right="60"/>
              <w:jc w:val="right"/>
              <w:rPr>
                <w:color w:val="000000"/>
                <w:sz w:val="18"/>
                <w:szCs w:val="18"/>
              </w:rPr>
            </w:pPr>
            <w:r w:rsidRPr="00B73A5A">
              <w:rPr>
                <w:color w:val="000000"/>
                <w:sz w:val="18"/>
                <w:szCs w:val="18"/>
              </w:rPr>
              <w:t xml:space="preserve">1.52746      </w:t>
            </w:r>
          </w:p>
        </w:tc>
      </w:tr>
      <w:tr w:rsidR="00B73A5A" w:rsidRPr="00E85D81" w:rsidTr="00B73A5A">
        <w:trPr>
          <w:cantSplit/>
          <w:trHeight w:val="220"/>
          <w:jc w:val="center"/>
        </w:trPr>
        <w:tc>
          <w:tcPr>
            <w:tcW w:w="2146" w:type="dxa"/>
            <w:tcBorders>
              <w:top w:val="nil"/>
              <w:left w:val="single" w:sz="16" w:space="0" w:color="000000"/>
              <w:bottom w:val="nil"/>
              <w:right w:val="single" w:sz="16" w:space="0" w:color="000000"/>
            </w:tcBorders>
            <w:shd w:val="clear" w:color="auto" w:fill="FFFFFF"/>
          </w:tcPr>
          <w:p w:rsidR="00B73A5A" w:rsidRPr="00B73A5A" w:rsidRDefault="00B73A5A" w:rsidP="00B73A5A">
            <w:pPr>
              <w:autoSpaceDE w:val="0"/>
              <w:autoSpaceDN w:val="0"/>
              <w:adjustRightInd w:val="0"/>
              <w:ind w:right="60"/>
              <w:rPr>
                <w:color w:val="000000"/>
                <w:sz w:val="18"/>
                <w:szCs w:val="18"/>
              </w:rPr>
            </w:pPr>
            <w:r>
              <w:rPr>
                <w:color w:val="000000"/>
                <w:sz w:val="18"/>
                <w:szCs w:val="18"/>
              </w:rPr>
              <w:t xml:space="preserve">   </w:t>
            </w:r>
            <w:r w:rsidRPr="00B73A5A">
              <w:rPr>
                <w:color w:val="000000"/>
                <w:sz w:val="18"/>
                <w:szCs w:val="18"/>
              </w:rPr>
              <w:t>LDR</w:t>
            </w:r>
          </w:p>
        </w:tc>
        <w:tc>
          <w:tcPr>
            <w:tcW w:w="425" w:type="dxa"/>
            <w:tcBorders>
              <w:top w:val="nil"/>
              <w:left w:val="single" w:sz="16" w:space="0" w:color="000000"/>
              <w:bottom w:val="nil"/>
            </w:tcBorders>
            <w:shd w:val="clear" w:color="auto" w:fill="FFFFFF"/>
            <w:vAlign w:val="center"/>
          </w:tcPr>
          <w:p w:rsidR="00B73A5A" w:rsidRPr="00B73A5A" w:rsidRDefault="00B73A5A" w:rsidP="00F51824">
            <w:pPr>
              <w:autoSpaceDE w:val="0"/>
              <w:autoSpaceDN w:val="0"/>
              <w:adjustRightInd w:val="0"/>
              <w:ind w:left="60" w:right="60"/>
              <w:jc w:val="right"/>
              <w:rPr>
                <w:color w:val="000000"/>
                <w:sz w:val="18"/>
                <w:szCs w:val="18"/>
              </w:rPr>
            </w:pPr>
            <w:r w:rsidRPr="00B73A5A">
              <w:rPr>
                <w:color w:val="000000"/>
                <w:sz w:val="18"/>
                <w:szCs w:val="18"/>
              </w:rPr>
              <w:t>23</w:t>
            </w:r>
          </w:p>
        </w:tc>
        <w:tc>
          <w:tcPr>
            <w:tcW w:w="1276" w:type="dxa"/>
            <w:tcBorders>
              <w:top w:val="nil"/>
              <w:bottom w:val="nil"/>
            </w:tcBorders>
            <w:shd w:val="clear" w:color="auto" w:fill="FFFFFF"/>
            <w:vAlign w:val="center"/>
          </w:tcPr>
          <w:p w:rsidR="00B73A5A" w:rsidRPr="00B73A5A" w:rsidRDefault="00B73A5A" w:rsidP="00F51824">
            <w:pPr>
              <w:autoSpaceDE w:val="0"/>
              <w:autoSpaceDN w:val="0"/>
              <w:adjustRightInd w:val="0"/>
              <w:ind w:left="60" w:right="60"/>
              <w:jc w:val="right"/>
              <w:rPr>
                <w:color w:val="000000"/>
                <w:sz w:val="18"/>
                <w:szCs w:val="18"/>
              </w:rPr>
            </w:pPr>
            <w:r w:rsidRPr="00B73A5A">
              <w:rPr>
                <w:color w:val="000000"/>
                <w:sz w:val="18"/>
                <w:szCs w:val="18"/>
              </w:rPr>
              <w:t>58.13</w:t>
            </w:r>
          </w:p>
        </w:tc>
        <w:tc>
          <w:tcPr>
            <w:tcW w:w="1276" w:type="dxa"/>
            <w:tcBorders>
              <w:top w:val="nil"/>
              <w:bottom w:val="nil"/>
            </w:tcBorders>
            <w:shd w:val="clear" w:color="auto" w:fill="FFFFFF"/>
            <w:vAlign w:val="center"/>
          </w:tcPr>
          <w:p w:rsidR="00B73A5A" w:rsidRPr="00B73A5A" w:rsidRDefault="00B73A5A" w:rsidP="00F51824">
            <w:pPr>
              <w:autoSpaceDE w:val="0"/>
              <w:autoSpaceDN w:val="0"/>
              <w:adjustRightInd w:val="0"/>
              <w:ind w:left="60" w:right="60"/>
              <w:jc w:val="right"/>
              <w:rPr>
                <w:color w:val="000000"/>
                <w:sz w:val="18"/>
                <w:szCs w:val="18"/>
              </w:rPr>
            </w:pPr>
            <w:r w:rsidRPr="00B73A5A">
              <w:rPr>
                <w:color w:val="000000"/>
                <w:sz w:val="18"/>
                <w:szCs w:val="18"/>
              </w:rPr>
              <w:t>108.61</w:t>
            </w:r>
          </w:p>
        </w:tc>
        <w:tc>
          <w:tcPr>
            <w:tcW w:w="1276" w:type="dxa"/>
            <w:tcBorders>
              <w:top w:val="nil"/>
              <w:bottom w:val="nil"/>
            </w:tcBorders>
            <w:shd w:val="clear" w:color="auto" w:fill="FFFFFF"/>
            <w:vAlign w:val="center"/>
          </w:tcPr>
          <w:p w:rsidR="00B73A5A" w:rsidRPr="00B73A5A" w:rsidRDefault="00B73A5A" w:rsidP="00F51824">
            <w:pPr>
              <w:autoSpaceDE w:val="0"/>
              <w:autoSpaceDN w:val="0"/>
              <w:adjustRightInd w:val="0"/>
              <w:ind w:left="60" w:right="60"/>
              <w:jc w:val="right"/>
              <w:rPr>
                <w:color w:val="000000"/>
                <w:sz w:val="18"/>
                <w:szCs w:val="18"/>
              </w:rPr>
            </w:pPr>
            <w:r w:rsidRPr="00B73A5A">
              <w:rPr>
                <w:color w:val="000000"/>
                <w:sz w:val="18"/>
                <w:szCs w:val="18"/>
              </w:rPr>
              <w:t>84.7843</w:t>
            </w:r>
          </w:p>
        </w:tc>
        <w:tc>
          <w:tcPr>
            <w:tcW w:w="2370" w:type="dxa"/>
            <w:tcBorders>
              <w:top w:val="nil"/>
              <w:bottom w:val="nil"/>
              <w:right w:val="single" w:sz="16" w:space="0" w:color="000000"/>
            </w:tcBorders>
            <w:shd w:val="clear" w:color="auto" w:fill="FFFFFF"/>
            <w:vAlign w:val="center"/>
          </w:tcPr>
          <w:p w:rsidR="00B73A5A" w:rsidRPr="00B73A5A" w:rsidRDefault="00B73A5A" w:rsidP="00F51824">
            <w:pPr>
              <w:autoSpaceDE w:val="0"/>
              <w:autoSpaceDN w:val="0"/>
              <w:adjustRightInd w:val="0"/>
              <w:ind w:left="60" w:right="60"/>
              <w:jc w:val="right"/>
              <w:rPr>
                <w:color w:val="000000"/>
                <w:sz w:val="18"/>
                <w:szCs w:val="18"/>
              </w:rPr>
            </w:pPr>
            <w:r w:rsidRPr="00B73A5A">
              <w:rPr>
                <w:color w:val="000000"/>
                <w:sz w:val="18"/>
                <w:szCs w:val="18"/>
              </w:rPr>
              <w:t>10.13097</w:t>
            </w:r>
          </w:p>
        </w:tc>
      </w:tr>
      <w:tr w:rsidR="00B73A5A" w:rsidRPr="00E85D81" w:rsidTr="00B73A5A">
        <w:trPr>
          <w:cantSplit/>
          <w:trHeight w:val="220"/>
          <w:jc w:val="center"/>
        </w:trPr>
        <w:tc>
          <w:tcPr>
            <w:tcW w:w="2146" w:type="dxa"/>
            <w:tcBorders>
              <w:top w:val="nil"/>
              <w:left w:val="single" w:sz="16" w:space="0" w:color="000000"/>
              <w:bottom w:val="nil"/>
              <w:right w:val="single" w:sz="16" w:space="0" w:color="000000"/>
            </w:tcBorders>
            <w:shd w:val="clear" w:color="auto" w:fill="FFFFFF"/>
          </w:tcPr>
          <w:p w:rsidR="00B73A5A" w:rsidRPr="00B73A5A" w:rsidRDefault="00B73A5A" w:rsidP="00B73A5A">
            <w:pPr>
              <w:autoSpaceDE w:val="0"/>
              <w:autoSpaceDN w:val="0"/>
              <w:adjustRightInd w:val="0"/>
              <w:ind w:right="60"/>
              <w:rPr>
                <w:color w:val="000000"/>
                <w:sz w:val="18"/>
                <w:szCs w:val="18"/>
              </w:rPr>
            </w:pPr>
            <w:r>
              <w:rPr>
                <w:color w:val="000000"/>
                <w:sz w:val="18"/>
                <w:szCs w:val="18"/>
              </w:rPr>
              <w:t xml:space="preserve">   </w:t>
            </w:r>
            <w:r w:rsidRPr="00B73A5A">
              <w:rPr>
                <w:color w:val="000000"/>
                <w:sz w:val="18"/>
                <w:szCs w:val="18"/>
              </w:rPr>
              <w:t>KMI</w:t>
            </w:r>
          </w:p>
        </w:tc>
        <w:tc>
          <w:tcPr>
            <w:tcW w:w="425" w:type="dxa"/>
            <w:tcBorders>
              <w:top w:val="nil"/>
              <w:left w:val="single" w:sz="16" w:space="0" w:color="000000"/>
              <w:bottom w:val="nil"/>
            </w:tcBorders>
            <w:shd w:val="clear" w:color="auto" w:fill="FFFFFF"/>
            <w:vAlign w:val="center"/>
          </w:tcPr>
          <w:p w:rsidR="00B73A5A" w:rsidRPr="00B73A5A" w:rsidRDefault="00B73A5A" w:rsidP="00F51824">
            <w:pPr>
              <w:autoSpaceDE w:val="0"/>
              <w:autoSpaceDN w:val="0"/>
              <w:adjustRightInd w:val="0"/>
              <w:ind w:left="60" w:right="60"/>
              <w:jc w:val="right"/>
              <w:rPr>
                <w:color w:val="000000"/>
                <w:sz w:val="18"/>
                <w:szCs w:val="18"/>
              </w:rPr>
            </w:pPr>
            <w:r w:rsidRPr="00B73A5A">
              <w:rPr>
                <w:color w:val="000000"/>
                <w:sz w:val="18"/>
                <w:szCs w:val="18"/>
              </w:rPr>
              <w:t>23</w:t>
            </w:r>
          </w:p>
        </w:tc>
        <w:tc>
          <w:tcPr>
            <w:tcW w:w="1276" w:type="dxa"/>
            <w:tcBorders>
              <w:top w:val="nil"/>
              <w:bottom w:val="nil"/>
            </w:tcBorders>
            <w:shd w:val="clear" w:color="auto" w:fill="FFFFFF"/>
            <w:vAlign w:val="center"/>
          </w:tcPr>
          <w:p w:rsidR="00B73A5A" w:rsidRPr="00B73A5A" w:rsidRDefault="00B73A5A" w:rsidP="00F51824">
            <w:pPr>
              <w:autoSpaceDE w:val="0"/>
              <w:autoSpaceDN w:val="0"/>
              <w:adjustRightInd w:val="0"/>
              <w:ind w:left="60" w:right="60"/>
              <w:jc w:val="right"/>
              <w:rPr>
                <w:color w:val="000000"/>
                <w:sz w:val="18"/>
                <w:szCs w:val="18"/>
              </w:rPr>
            </w:pPr>
            <w:r w:rsidRPr="00B73A5A">
              <w:rPr>
                <w:color w:val="000000"/>
                <w:sz w:val="18"/>
                <w:szCs w:val="18"/>
              </w:rPr>
              <w:t>2.0</w:t>
            </w:r>
          </w:p>
        </w:tc>
        <w:tc>
          <w:tcPr>
            <w:tcW w:w="1276" w:type="dxa"/>
            <w:tcBorders>
              <w:top w:val="nil"/>
              <w:bottom w:val="nil"/>
            </w:tcBorders>
            <w:shd w:val="clear" w:color="auto" w:fill="FFFFFF"/>
            <w:vAlign w:val="center"/>
          </w:tcPr>
          <w:p w:rsidR="00B73A5A" w:rsidRPr="00B73A5A" w:rsidRDefault="00B73A5A" w:rsidP="00F51824">
            <w:pPr>
              <w:autoSpaceDE w:val="0"/>
              <w:autoSpaceDN w:val="0"/>
              <w:adjustRightInd w:val="0"/>
              <w:ind w:left="60" w:right="60"/>
              <w:jc w:val="right"/>
              <w:rPr>
                <w:color w:val="000000"/>
                <w:sz w:val="18"/>
                <w:szCs w:val="18"/>
              </w:rPr>
            </w:pPr>
            <w:r w:rsidRPr="00B73A5A">
              <w:rPr>
                <w:color w:val="000000"/>
                <w:sz w:val="18"/>
                <w:szCs w:val="18"/>
              </w:rPr>
              <w:t>5.0</w:t>
            </w:r>
          </w:p>
        </w:tc>
        <w:tc>
          <w:tcPr>
            <w:tcW w:w="1276" w:type="dxa"/>
            <w:tcBorders>
              <w:top w:val="nil"/>
              <w:bottom w:val="nil"/>
            </w:tcBorders>
            <w:shd w:val="clear" w:color="auto" w:fill="FFFFFF"/>
            <w:vAlign w:val="center"/>
          </w:tcPr>
          <w:p w:rsidR="00B73A5A" w:rsidRPr="00B73A5A" w:rsidRDefault="00B73A5A" w:rsidP="00F51824">
            <w:pPr>
              <w:autoSpaceDE w:val="0"/>
              <w:autoSpaceDN w:val="0"/>
              <w:adjustRightInd w:val="0"/>
              <w:ind w:left="60" w:right="60"/>
              <w:jc w:val="right"/>
              <w:rPr>
                <w:color w:val="000000"/>
                <w:sz w:val="18"/>
                <w:szCs w:val="18"/>
              </w:rPr>
            </w:pPr>
            <w:r w:rsidRPr="00B73A5A">
              <w:rPr>
                <w:color w:val="000000"/>
                <w:sz w:val="18"/>
                <w:szCs w:val="18"/>
              </w:rPr>
              <w:t>3.087</w:t>
            </w:r>
          </w:p>
        </w:tc>
        <w:tc>
          <w:tcPr>
            <w:tcW w:w="2370" w:type="dxa"/>
            <w:tcBorders>
              <w:top w:val="nil"/>
              <w:bottom w:val="nil"/>
              <w:right w:val="single" w:sz="16" w:space="0" w:color="000000"/>
            </w:tcBorders>
            <w:shd w:val="clear" w:color="auto" w:fill="FFFFFF"/>
            <w:vAlign w:val="center"/>
          </w:tcPr>
          <w:p w:rsidR="00B73A5A" w:rsidRPr="00B73A5A" w:rsidRDefault="00B73A5A" w:rsidP="00F51824">
            <w:pPr>
              <w:autoSpaceDE w:val="0"/>
              <w:autoSpaceDN w:val="0"/>
              <w:adjustRightInd w:val="0"/>
              <w:ind w:left="60" w:right="60"/>
              <w:jc w:val="right"/>
              <w:rPr>
                <w:color w:val="000000"/>
                <w:sz w:val="18"/>
                <w:szCs w:val="18"/>
              </w:rPr>
            </w:pPr>
            <w:r w:rsidRPr="00B73A5A">
              <w:rPr>
                <w:color w:val="000000"/>
                <w:sz w:val="18"/>
                <w:szCs w:val="18"/>
              </w:rPr>
              <w:t>.9960</w:t>
            </w:r>
          </w:p>
        </w:tc>
      </w:tr>
      <w:tr w:rsidR="00B73A5A" w:rsidRPr="00E85D81" w:rsidTr="00B73A5A">
        <w:trPr>
          <w:cantSplit/>
          <w:trHeight w:val="220"/>
          <w:jc w:val="center"/>
        </w:trPr>
        <w:tc>
          <w:tcPr>
            <w:tcW w:w="2146" w:type="dxa"/>
            <w:tcBorders>
              <w:top w:val="nil"/>
              <w:left w:val="single" w:sz="16" w:space="0" w:color="000000"/>
              <w:bottom w:val="nil"/>
              <w:right w:val="single" w:sz="16" w:space="0" w:color="000000"/>
            </w:tcBorders>
            <w:shd w:val="clear" w:color="auto" w:fill="FFFFFF"/>
          </w:tcPr>
          <w:p w:rsidR="00B73A5A" w:rsidRPr="00B73A5A" w:rsidRDefault="00B73A5A" w:rsidP="00B73A5A">
            <w:pPr>
              <w:autoSpaceDE w:val="0"/>
              <w:autoSpaceDN w:val="0"/>
              <w:adjustRightInd w:val="0"/>
              <w:ind w:right="60"/>
              <w:rPr>
                <w:color w:val="000000"/>
                <w:sz w:val="18"/>
                <w:szCs w:val="18"/>
              </w:rPr>
            </w:pPr>
            <w:r>
              <w:rPr>
                <w:color w:val="000000"/>
                <w:sz w:val="18"/>
                <w:szCs w:val="18"/>
              </w:rPr>
              <w:t xml:space="preserve">   </w:t>
            </w:r>
            <w:r w:rsidRPr="00B73A5A">
              <w:rPr>
                <w:color w:val="000000"/>
                <w:sz w:val="18"/>
                <w:szCs w:val="18"/>
              </w:rPr>
              <w:t>KKKI</w:t>
            </w:r>
          </w:p>
        </w:tc>
        <w:tc>
          <w:tcPr>
            <w:tcW w:w="425" w:type="dxa"/>
            <w:tcBorders>
              <w:top w:val="nil"/>
              <w:left w:val="single" w:sz="16" w:space="0" w:color="000000"/>
              <w:bottom w:val="nil"/>
            </w:tcBorders>
            <w:shd w:val="clear" w:color="auto" w:fill="FFFFFF"/>
            <w:vAlign w:val="center"/>
          </w:tcPr>
          <w:p w:rsidR="00B73A5A" w:rsidRPr="00B73A5A" w:rsidRDefault="00B73A5A" w:rsidP="00F51824">
            <w:pPr>
              <w:autoSpaceDE w:val="0"/>
              <w:autoSpaceDN w:val="0"/>
              <w:adjustRightInd w:val="0"/>
              <w:ind w:left="60" w:right="60"/>
              <w:jc w:val="right"/>
              <w:rPr>
                <w:color w:val="000000"/>
                <w:sz w:val="18"/>
                <w:szCs w:val="18"/>
              </w:rPr>
            </w:pPr>
            <w:r w:rsidRPr="00B73A5A">
              <w:rPr>
                <w:color w:val="000000"/>
                <w:sz w:val="18"/>
                <w:szCs w:val="18"/>
              </w:rPr>
              <w:t>23</w:t>
            </w:r>
          </w:p>
        </w:tc>
        <w:tc>
          <w:tcPr>
            <w:tcW w:w="1276" w:type="dxa"/>
            <w:tcBorders>
              <w:top w:val="nil"/>
              <w:bottom w:val="nil"/>
            </w:tcBorders>
            <w:shd w:val="clear" w:color="auto" w:fill="FFFFFF"/>
            <w:vAlign w:val="center"/>
          </w:tcPr>
          <w:p w:rsidR="00B73A5A" w:rsidRPr="00B73A5A" w:rsidRDefault="00B73A5A" w:rsidP="00F51824">
            <w:pPr>
              <w:autoSpaceDE w:val="0"/>
              <w:autoSpaceDN w:val="0"/>
              <w:adjustRightInd w:val="0"/>
              <w:ind w:left="60" w:right="60"/>
              <w:jc w:val="right"/>
              <w:rPr>
                <w:color w:val="000000"/>
                <w:sz w:val="18"/>
                <w:szCs w:val="18"/>
              </w:rPr>
            </w:pPr>
            <w:r w:rsidRPr="00B73A5A">
              <w:rPr>
                <w:color w:val="000000"/>
                <w:sz w:val="18"/>
                <w:szCs w:val="18"/>
              </w:rPr>
              <w:t>14.29</w:t>
            </w:r>
          </w:p>
        </w:tc>
        <w:tc>
          <w:tcPr>
            <w:tcW w:w="1276" w:type="dxa"/>
            <w:tcBorders>
              <w:top w:val="nil"/>
              <w:bottom w:val="nil"/>
            </w:tcBorders>
            <w:shd w:val="clear" w:color="auto" w:fill="FFFFFF"/>
            <w:vAlign w:val="center"/>
          </w:tcPr>
          <w:p w:rsidR="00B73A5A" w:rsidRPr="00B73A5A" w:rsidRDefault="00B73A5A" w:rsidP="00F51824">
            <w:pPr>
              <w:autoSpaceDE w:val="0"/>
              <w:autoSpaceDN w:val="0"/>
              <w:adjustRightInd w:val="0"/>
              <w:ind w:left="60" w:right="60"/>
              <w:jc w:val="right"/>
              <w:rPr>
                <w:color w:val="000000"/>
                <w:sz w:val="18"/>
                <w:szCs w:val="18"/>
              </w:rPr>
            </w:pPr>
            <w:r w:rsidRPr="00B73A5A">
              <w:rPr>
                <w:color w:val="000000"/>
                <w:sz w:val="18"/>
                <w:szCs w:val="18"/>
              </w:rPr>
              <w:t>99.90</w:t>
            </w:r>
          </w:p>
        </w:tc>
        <w:tc>
          <w:tcPr>
            <w:tcW w:w="1276" w:type="dxa"/>
            <w:tcBorders>
              <w:top w:val="nil"/>
              <w:bottom w:val="nil"/>
            </w:tcBorders>
            <w:shd w:val="clear" w:color="auto" w:fill="FFFFFF"/>
            <w:vAlign w:val="center"/>
          </w:tcPr>
          <w:p w:rsidR="00B73A5A" w:rsidRPr="00B73A5A" w:rsidRDefault="00B73A5A" w:rsidP="00F51824">
            <w:pPr>
              <w:autoSpaceDE w:val="0"/>
              <w:autoSpaceDN w:val="0"/>
              <w:adjustRightInd w:val="0"/>
              <w:ind w:left="60" w:right="60"/>
              <w:jc w:val="right"/>
              <w:rPr>
                <w:color w:val="000000"/>
                <w:sz w:val="18"/>
                <w:szCs w:val="18"/>
              </w:rPr>
            </w:pPr>
            <w:r w:rsidRPr="00B73A5A">
              <w:rPr>
                <w:color w:val="000000"/>
                <w:sz w:val="18"/>
                <w:szCs w:val="18"/>
              </w:rPr>
              <w:t>57.7183</w:t>
            </w:r>
          </w:p>
        </w:tc>
        <w:tc>
          <w:tcPr>
            <w:tcW w:w="2370" w:type="dxa"/>
            <w:tcBorders>
              <w:top w:val="nil"/>
              <w:bottom w:val="nil"/>
              <w:right w:val="single" w:sz="16" w:space="0" w:color="000000"/>
            </w:tcBorders>
            <w:shd w:val="clear" w:color="auto" w:fill="FFFFFF"/>
            <w:vAlign w:val="center"/>
          </w:tcPr>
          <w:p w:rsidR="00B73A5A" w:rsidRPr="00B73A5A" w:rsidRDefault="00B73A5A" w:rsidP="00F51824">
            <w:pPr>
              <w:autoSpaceDE w:val="0"/>
              <w:autoSpaceDN w:val="0"/>
              <w:adjustRightInd w:val="0"/>
              <w:ind w:left="60" w:right="60"/>
              <w:jc w:val="right"/>
              <w:rPr>
                <w:color w:val="000000"/>
                <w:sz w:val="18"/>
                <w:szCs w:val="18"/>
              </w:rPr>
            </w:pPr>
            <w:r w:rsidRPr="00B73A5A">
              <w:rPr>
                <w:color w:val="000000"/>
                <w:sz w:val="18"/>
                <w:szCs w:val="18"/>
              </w:rPr>
              <w:t>22.71139</w:t>
            </w:r>
          </w:p>
        </w:tc>
      </w:tr>
      <w:tr w:rsidR="00B73A5A" w:rsidRPr="00E85D81" w:rsidTr="00B73A5A">
        <w:trPr>
          <w:cantSplit/>
          <w:trHeight w:val="220"/>
          <w:jc w:val="center"/>
        </w:trPr>
        <w:tc>
          <w:tcPr>
            <w:tcW w:w="2146" w:type="dxa"/>
            <w:tcBorders>
              <w:top w:val="nil"/>
              <w:left w:val="single" w:sz="16" w:space="0" w:color="000000"/>
              <w:bottom w:val="nil"/>
              <w:right w:val="single" w:sz="16" w:space="0" w:color="000000"/>
            </w:tcBorders>
            <w:shd w:val="clear" w:color="auto" w:fill="FFFFFF"/>
          </w:tcPr>
          <w:p w:rsidR="00B73A5A" w:rsidRPr="00B73A5A" w:rsidRDefault="00B73A5A" w:rsidP="00B73A5A">
            <w:pPr>
              <w:autoSpaceDE w:val="0"/>
              <w:autoSpaceDN w:val="0"/>
              <w:adjustRightInd w:val="0"/>
              <w:ind w:right="60"/>
              <w:rPr>
                <w:color w:val="000000"/>
                <w:sz w:val="18"/>
                <w:szCs w:val="18"/>
              </w:rPr>
            </w:pPr>
            <w:r>
              <w:rPr>
                <w:color w:val="000000"/>
                <w:sz w:val="18"/>
                <w:szCs w:val="18"/>
              </w:rPr>
              <w:t xml:space="preserve">   </w:t>
            </w:r>
            <w:r w:rsidRPr="00B73A5A">
              <w:rPr>
                <w:color w:val="000000"/>
                <w:sz w:val="18"/>
                <w:szCs w:val="18"/>
              </w:rPr>
              <w:t>KTA</w:t>
            </w:r>
          </w:p>
        </w:tc>
        <w:tc>
          <w:tcPr>
            <w:tcW w:w="425" w:type="dxa"/>
            <w:tcBorders>
              <w:top w:val="nil"/>
              <w:left w:val="single" w:sz="16" w:space="0" w:color="000000"/>
              <w:bottom w:val="nil"/>
            </w:tcBorders>
            <w:shd w:val="clear" w:color="auto" w:fill="FFFFFF"/>
            <w:vAlign w:val="center"/>
          </w:tcPr>
          <w:p w:rsidR="00B73A5A" w:rsidRPr="00B73A5A" w:rsidRDefault="00B73A5A" w:rsidP="00F51824">
            <w:pPr>
              <w:autoSpaceDE w:val="0"/>
              <w:autoSpaceDN w:val="0"/>
              <w:adjustRightInd w:val="0"/>
              <w:ind w:left="60" w:right="60"/>
              <w:jc w:val="right"/>
              <w:rPr>
                <w:color w:val="000000"/>
                <w:sz w:val="18"/>
                <w:szCs w:val="18"/>
              </w:rPr>
            </w:pPr>
            <w:r w:rsidRPr="00B73A5A">
              <w:rPr>
                <w:color w:val="000000"/>
                <w:sz w:val="18"/>
                <w:szCs w:val="18"/>
              </w:rPr>
              <w:t>23</w:t>
            </w:r>
          </w:p>
        </w:tc>
        <w:tc>
          <w:tcPr>
            <w:tcW w:w="1276" w:type="dxa"/>
            <w:tcBorders>
              <w:top w:val="nil"/>
              <w:bottom w:val="nil"/>
            </w:tcBorders>
            <w:shd w:val="clear" w:color="auto" w:fill="FFFFFF"/>
            <w:vAlign w:val="center"/>
          </w:tcPr>
          <w:p w:rsidR="00B73A5A" w:rsidRPr="00B73A5A" w:rsidRDefault="00B73A5A" w:rsidP="00F51824">
            <w:pPr>
              <w:autoSpaceDE w:val="0"/>
              <w:autoSpaceDN w:val="0"/>
              <w:adjustRightInd w:val="0"/>
              <w:ind w:left="60" w:right="60"/>
              <w:jc w:val="right"/>
              <w:rPr>
                <w:color w:val="000000"/>
                <w:sz w:val="18"/>
                <w:szCs w:val="18"/>
              </w:rPr>
            </w:pPr>
            <w:r w:rsidRPr="00B73A5A">
              <w:rPr>
                <w:color w:val="000000"/>
                <w:sz w:val="18"/>
                <w:szCs w:val="18"/>
              </w:rPr>
              <w:t>2.0</w:t>
            </w:r>
          </w:p>
        </w:tc>
        <w:tc>
          <w:tcPr>
            <w:tcW w:w="1276" w:type="dxa"/>
            <w:tcBorders>
              <w:top w:val="nil"/>
              <w:bottom w:val="nil"/>
            </w:tcBorders>
            <w:shd w:val="clear" w:color="auto" w:fill="FFFFFF"/>
            <w:vAlign w:val="center"/>
          </w:tcPr>
          <w:p w:rsidR="00B73A5A" w:rsidRPr="00B73A5A" w:rsidRDefault="00B73A5A" w:rsidP="00F51824">
            <w:pPr>
              <w:autoSpaceDE w:val="0"/>
              <w:autoSpaceDN w:val="0"/>
              <w:adjustRightInd w:val="0"/>
              <w:ind w:left="60" w:right="60"/>
              <w:jc w:val="right"/>
              <w:rPr>
                <w:color w:val="000000"/>
                <w:sz w:val="18"/>
                <w:szCs w:val="18"/>
              </w:rPr>
            </w:pPr>
            <w:r w:rsidRPr="00B73A5A">
              <w:rPr>
                <w:color w:val="000000"/>
                <w:sz w:val="18"/>
                <w:szCs w:val="18"/>
              </w:rPr>
              <w:t>6.0</w:t>
            </w:r>
          </w:p>
        </w:tc>
        <w:tc>
          <w:tcPr>
            <w:tcW w:w="1276" w:type="dxa"/>
            <w:tcBorders>
              <w:top w:val="nil"/>
              <w:bottom w:val="nil"/>
            </w:tcBorders>
            <w:shd w:val="clear" w:color="auto" w:fill="FFFFFF"/>
            <w:vAlign w:val="center"/>
          </w:tcPr>
          <w:p w:rsidR="00B73A5A" w:rsidRPr="00B73A5A" w:rsidRDefault="00B73A5A" w:rsidP="00F51824">
            <w:pPr>
              <w:autoSpaceDE w:val="0"/>
              <w:autoSpaceDN w:val="0"/>
              <w:adjustRightInd w:val="0"/>
              <w:ind w:left="60" w:right="60"/>
              <w:jc w:val="right"/>
              <w:rPr>
                <w:color w:val="000000"/>
                <w:sz w:val="18"/>
                <w:szCs w:val="18"/>
              </w:rPr>
            </w:pPr>
            <w:r w:rsidRPr="00B73A5A">
              <w:rPr>
                <w:color w:val="000000"/>
                <w:sz w:val="18"/>
                <w:szCs w:val="18"/>
              </w:rPr>
              <w:t>3.652</w:t>
            </w:r>
          </w:p>
        </w:tc>
        <w:tc>
          <w:tcPr>
            <w:tcW w:w="2370" w:type="dxa"/>
            <w:tcBorders>
              <w:top w:val="nil"/>
              <w:bottom w:val="nil"/>
              <w:right w:val="single" w:sz="16" w:space="0" w:color="000000"/>
            </w:tcBorders>
            <w:shd w:val="clear" w:color="auto" w:fill="FFFFFF"/>
            <w:vAlign w:val="center"/>
          </w:tcPr>
          <w:p w:rsidR="00B73A5A" w:rsidRPr="00B73A5A" w:rsidRDefault="00B73A5A" w:rsidP="00F51824">
            <w:pPr>
              <w:autoSpaceDE w:val="0"/>
              <w:autoSpaceDN w:val="0"/>
              <w:adjustRightInd w:val="0"/>
              <w:ind w:left="60" w:right="60"/>
              <w:jc w:val="right"/>
              <w:rPr>
                <w:color w:val="000000"/>
                <w:sz w:val="18"/>
                <w:szCs w:val="18"/>
              </w:rPr>
            </w:pPr>
            <w:r w:rsidRPr="00B73A5A">
              <w:rPr>
                <w:color w:val="000000"/>
                <w:sz w:val="18"/>
                <w:szCs w:val="18"/>
              </w:rPr>
              <w:t>1.1123</w:t>
            </w:r>
          </w:p>
        </w:tc>
      </w:tr>
      <w:tr w:rsidR="00B73A5A" w:rsidRPr="00E85D81" w:rsidTr="00B73A5A">
        <w:trPr>
          <w:cantSplit/>
          <w:trHeight w:val="220"/>
          <w:jc w:val="center"/>
        </w:trPr>
        <w:tc>
          <w:tcPr>
            <w:tcW w:w="2146" w:type="dxa"/>
            <w:tcBorders>
              <w:top w:val="nil"/>
              <w:left w:val="single" w:sz="16" w:space="0" w:color="000000"/>
              <w:bottom w:val="nil"/>
              <w:right w:val="single" w:sz="16" w:space="0" w:color="000000"/>
            </w:tcBorders>
            <w:shd w:val="clear" w:color="auto" w:fill="FFFFFF"/>
          </w:tcPr>
          <w:p w:rsidR="00B73A5A" w:rsidRPr="00B73A5A" w:rsidRDefault="00B73A5A" w:rsidP="00B73A5A">
            <w:pPr>
              <w:autoSpaceDE w:val="0"/>
              <w:autoSpaceDN w:val="0"/>
              <w:adjustRightInd w:val="0"/>
              <w:ind w:right="60"/>
              <w:rPr>
                <w:color w:val="000000"/>
                <w:sz w:val="18"/>
                <w:szCs w:val="18"/>
              </w:rPr>
            </w:pPr>
            <w:r w:rsidRPr="00B73A5A">
              <w:rPr>
                <w:color w:val="000000"/>
                <w:sz w:val="18"/>
                <w:szCs w:val="18"/>
              </w:rPr>
              <w:t xml:space="preserve"> </w:t>
            </w:r>
            <w:r>
              <w:rPr>
                <w:color w:val="000000"/>
                <w:sz w:val="18"/>
                <w:szCs w:val="18"/>
              </w:rPr>
              <w:t xml:space="preserve">  </w:t>
            </w:r>
            <w:r w:rsidRPr="00B73A5A">
              <w:rPr>
                <w:color w:val="000000"/>
                <w:sz w:val="18"/>
                <w:szCs w:val="18"/>
              </w:rPr>
              <w:t>RB</w:t>
            </w:r>
          </w:p>
        </w:tc>
        <w:tc>
          <w:tcPr>
            <w:tcW w:w="425" w:type="dxa"/>
            <w:tcBorders>
              <w:top w:val="nil"/>
              <w:left w:val="single" w:sz="16" w:space="0" w:color="000000"/>
              <w:bottom w:val="nil"/>
            </w:tcBorders>
            <w:shd w:val="clear" w:color="auto" w:fill="FFFFFF"/>
            <w:vAlign w:val="center"/>
          </w:tcPr>
          <w:p w:rsidR="00B73A5A" w:rsidRPr="00B73A5A" w:rsidRDefault="00B73A5A" w:rsidP="00F51824">
            <w:pPr>
              <w:autoSpaceDE w:val="0"/>
              <w:autoSpaceDN w:val="0"/>
              <w:adjustRightInd w:val="0"/>
              <w:ind w:left="60" w:right="60"/>
              <w:jc w:val="right"/>
              <w:rPr>
                <w:color w:val="000000"/>
                <w:sz w:val="18"/>
                <w:szCs w:val="18"/>
              </w:rPr>
            </w:pPr>
            <w:r w:rsidRPr="00B73A5A">
              <w:rPr>
                <w:color w:val="000000"/>
                <w:sz w:val="18"/>
                <w:szCs w:val="18"/>
              </w:rPr>
              <w:t>23</w:t>
            </w:r>
          </w:p>
        </w:tc>
        <w:tc>
          <w:tcPr>
            <w:tcW w:w="1276" w:type="dxa"/>
            <w:tcBorders>
              <w:top w:val="nil"/>
              <w:bottom w:val="nil"/>
            </w:tcBorders>
            <w:shd w:val="clear" w:color="auto" w:fill="FFFFFF"/>
            <w:vAlign w:val="center"/>
          </w:tcPr>
          <w:p w:rsidR="00B73A5A" w:rsidRPr="00B73A5A" w:rsidRDefault="00B73A5A" w:rsidP="00F51824">
            <w:pPr>
              <w:autoSpaceDE w:val="0"/>
              <w:autoSpaceDN w:val="0"/>
              <w:adjustRightInd w:val="0"/>
              <w:ind w:left="60" w:right="60"/>
              <w:jc w:val="right"/>
              <w:rPr>
                <w:color w:val="000000"/>
                <w:sz w:val="18"/>
                <w:szCs w:val="18"/>
              </w:rPr>
            </w:pPr>
            <w:r w:rsidRPr="00B73A5A">
              <w:rPr>
                <w:color w:val="000000"/>
                <w:sz w:val="18"/>
                <w:szCs w:val="18"/>
              </w:rPr>
              <w:t>2.4</w:t>
            </w:r>
          </w:p>
        </w:tc>
        <w:tc>
          <w:tcPr>
            <w:tcW w:w="1276" w:type="dxa"/>
            <w:tcBorders>
              <w:top w:val="nil"/>
              <w:bottom w:val="nil"/>
            </w:tcBorders>
            <w:shd w:val="clear" w:color="auto" w:fill="FFFFFF"/>
            <w:vAlign w:val="center"/>
          </w:tcPr>
          <w:p w:rsidR="00B73A5A" w:rsidRPr="00B73A5A" w:rsidRDefault="00B73A5A" w:rsidP="00F51824">
            <w:pPr>
              <w:autoSpaceDE w:val="0"/>
              <w:autoSpaceDN w:val="0"/>
              <w:adjustRightInd w:val="0"/>
              <w:ind w:left="60" w:right="60"/>
              <w:jc w:val="right"/>
              <w:rPr>
                <w:color w:val="000000"/>
                <w:sz w:val="18"/>
                <w:szCs w:val="18"/>
              </w:rPr>
            </w:pPr>
            <w:r w:rsidRPr="00B73A5A">
              <w:rPr>
                <w:color w:val="000000"/>
                <w:sz w:val="18"/>
                <w:szCs w:val="18"/>
              </w:rPr>
              <w:t>9.65</w:t>
            </w:r>
          </w:p>
        </w:tc>
        <w:tc>
          <w:tcPr>
            <w:tcW w:w="1276" w:type="dxa"/>
            <w:tcBorders>
              <w:top w:val="nil"/>
              <w:bottom w:val="nil"/>
            </w:tcBorders>
            <w:shd w:val="clear" w:color="auto" w:fill="FFFFFF"/>
            <w:vAlign w:val="center"/>
          </w:tcPr>
          <w:p w:rsidR="00B73A5A" w:rsidRPr="00B73A5A" w:rsidRDefault="00B73A5A" w:rsidP="00F51824">
            <w:pPr>
              <w:autoSpaceDE w:val="0"/>
              <w:autoSpaceDN w:val="0"/>
              <w:adjustRightInd w:val="0"/>
              <w:ind w:left="60" w:right="60"/>
              <w:jc w:val="right"/>
              <w:rPr>
                <w:color w:val="000000"/>
                <w:sz w:val="18"/>
                <w:szCs w:val="18"/>
              </w:rPr>
            </w:pPr>
            <w:r w:rsidRPr="00B73A5A">
              <w:rPr>
                <w:color w:val="000000"/>
                <w:sz w:val="18"/>
                <w:szCs w:val="18"/>
              </w:rPr>
              <w:t>5.4287</w:t>
            </w:r>
          </w:p>
        </w:tc>
        <w:tc>
          <w:tcPr>
            <w:tcW w:w="2370" w:type="dxa"/>
            <w:tcBorders>
              <w:top w:val="nil"/>
              <w:bottom w:val="nil"/>
              <w:right w:val="single" w:sz="16" w:space="0" w:color="000000"/>
            </w:tcBorders>
            <w:shd w:val="clear" w:color="auto" w:fill="FFFFFF"/>
            <w:vAlign w:val="center"/>
          </w:tcPr>
          <w:p w:rsidR="00B73A5A" w:rsidRPr="00B73A5A" w:rsidRDefault="00B73A5A" w:rsidP="00F51824">
            <w:pPr>
              <w:autoSpaceDE w:val="0"/>
              <w:autoSpaceDN w:val="0"/>
              <w:adjustRightInd w:val="0"/>
              <w:ind w:left="60" w:right="60"/>
              <w:jc w:val="right"/>
              <w:rPr>
                <w:color w:val="000000"/>
                <w:sz w:val="18"/>
                <w:szCs w:val="18"/>
              </w:rPr>
            </w:pPr>
            <w:r w:rsidRPr="00B73A5A">
              <w:rPr>
                <w:color w:val="000000"/>
                <w:sz w:val="18"/>
                <w:szCs w:val="18"/>
              </w:rPr>
              <w:t>2.12470</w:t>
            </w:r>
          </w:p>
        </w:tc>
      </w:tr>
      <w:tr w:rsidR="00B73A5A" w:rsidRPr="00E85D81" w:rsidTr="00B73A5A">
        <w:trPr>
          <w:cantSplit/>
          <w:trHeight w:val="220"/>
          <w:jc w:val="center"/>
        </w:trPr>
        <w:tc>
          <w:tcPr>
            <w:tcW w:w="2146" w:type="dxa"/>
            <w:tcBorders>
              <w:top w:val="nil"/>
              <w:left w:val="single" w:sz="16" w:space="0" w:color="000000"/>
              <w:bottom w:val="nil"/>
              <w:right w:val="single" w:sz="16" w:space="0" w:color="000000"/>
            </w:tcBorders>
            <w:shd w:val="clear" w:color="auto" w:fill="FFFFFF"/>
          </w:tcPr>
          <w:p w:rsidR="00B73A5A" w:rsidRPr="00B73A5A" w:rsidRDefault="00B73A5A" w:rsidP="00B73A5A">
            <w:pPr>
              <w:autoSpaceDE w:val="0"/>
              <w:autoSpaceDN w:val="0"/>
              <w:adjustRightInd w:val="0"/>
              <w:ind w:right="60"/>
              <w:rPr>
                <w:color w:val="000000"/>
                <w:sz w:val="18"/>
                <w:szCs w:val="18"/>
              </w:rPr>
            </w:pPr>
            <w:r>
              <w:rPr>
                <w:color w:val="000000"/>
                <w:sz w:val="18"/>
                <w:szCs w:val="18"/>
              </w:rPr>
              <w:t xml:space="preserve">   </w:t>
            </w:r>
            <w:r w:rsidRPr="00B73A5A">
              <w:rPr>
                <w:color w:val="000000"/>
                <w:sz w:val="18"/>
                <w:szCs w:val="18"/>
              </w:rPr>
              <w:t>CP</w:t>
            </w:r>
          </w:p>
        </w:tc>
        <w:tc>
          <w:tcPr>
            <w:tcW w:w="425" w:type="dxa"/>
            <w:tcBorders>
              <w:top w:val="nil"/>
              <w:left w:val="single" w:sz="16" w:space="0" w:color="000000"/>
              <w:bottom w:val="nil"/>
            </w:tcBorders>
            <w:shd w:val="clear" w:color="auto" w:fill="FFFFFF"/>
            <w:vAlign w:val="center"/>
          </w:tcPr>
          <w:p w:rsidR="00B73A5A" w:rsidRPr="00B73A5A" w:rsidRDefault="00B73A5A" w:rsidP="00F51824">
            <w:pPr>
              <w:autoSpaceDE w:val="0"/>
              <w:autoSpaceDN w:val="0"/>
              <w:adjustRightInd w:val="0"/>
              <w:ind w:left="60" w:right="60"/>
              <w:jc w:val="right"/>
              <w:rPr>
                <w:color w:val="000000"/>
                <w:sz w:val="18"/>
                <w:szCs w:val="18"/>
              </w:rPr>
            </w:pPr>
            <w:r w:rsidRPr="00B73A5A">
              <w:rPr>
                <w:color w:val="000000"/>
                <w:sz w:val="18"/>
                <w:szCs w:val="18"/>
              </w:rPr>
              <w:t>23</w:t>
            </w:r>
          </w:p>
        </w:tc>
        <w:tc>
          <w:tcPr>
            <w:tcW w:w="1276" w:type="dxa"/>
            <w:tcBorders>
              <w:top w:val="nil"/>
              <w:bottom w:val="nil"/>
            </w:tcBorders>
            <w:shd w:val="clear" w:color="auto" w:fill="FFFFFF"/>
            <w:vAlign w:val="center"/>
          </w:tcPr>
          <w:p w:rsidR="00B73A5A" w:rsidRPr="00B73A5A" w:rsidRDefault="00B73A5A" w:rsidP="00F51824">
            <w:pPr>
              <w:autoSpaceDE w:val="0"/>
              <w:autoSpaceDN w:val="0"/>
              <w:adjustRightInd w:val="0"/>
              <w:ind w:left="60" w:right="60"/>
              <w:jc w:val="right"/>
              <w:rPr>
                <w:color w:val="000000"/>
                <w:sz w:val="18"/>
                <w:szCs w:val="18"/>
              </w:rPr>
            </w:pPr>
            <w:r w:rsidRPr="00B73A5A">
              <w:rPr>
                <w:color w:val="000000"/>
                <w:sz w:val="18"/>
                <w:szCs w:val="18"/>
              </w:rPr>
              <w:t>10.50</w:t>
            </w:r>
          </w:p>
        </w:tc>
        <w:tc>
          <w:tcPr>
            <w:tcW w:w="1276" w:type="dxa"/>
            <w:tcBorders>
              <w:top w:val="nil"/>
              <w:bottom w:val="nil"/>
            </w:tcBorders>
            <w:shd w:val="clear" w:color="auto" w:fill="FFFFFF"/>
            <w:vAlign w:val="center"/>
          </w:tcPr>
          <w:p w:rsidR="00B73A5A" w:rsidRPr="00B73A5A" w:rsidRDefault="00B73A5A" w:rsidP="00F51824">
            <w:pPr>
              <w:autoSpaceDE w:val="0"/>
              <w:autoSpaceDN w:val="0"/>
              <w:adjustRightInd w:val="0"/>
              <w:ind w:left="60" w:right="60"/>
              <w:jc w:val="right"/>
              <w:rPr>
                <w:color w:val="000000"/>
                <w:sz w:val="18"/>
                <w:szCs w:val="18"/>
              </w:rPr>
            </w:pPr>
            <w:r w:rsidRPr="00B73A5A">
              <w:rPr>
                <w:color w:val="000000"/>
                <w:sz w:val="18"/>
                <w:szCs w:val="18"/>
              </w:rPr>
              <w:t>26.66</w:t>
            </w:r>
          </w:p>
        </w:tc>
        <w:tc>
          <w:tcPr>
            <w:tcW w:w="1276" w:type="dxa"/>
            <w:tcBorders>
              <w:top w:val="nil"/>
              <w:bottom w:val="nil"/>
            </w:tcBorders>
            <w:shd w:val="clear" w:color="auto" w:fill="FFFFFF"/>
            <w:vAlign w:val="center"/>
          </w:tcPr>
          <w:p w:rsidR="00B73A5A" w:rsidRPr="00B73A5A" w:rsidRDefault="00B73A5A" w:rsidP="00F51824">
            <w:pPr>
              <w:autoSpaceDE w:val="0"/>
              <w:autoSpaceDN w:val="0"/>
              <w:adjustRightInd w:val="0"/>
              <w:ind w:left="60" w:right="60"/>
              <w:jc w:val="right"/>
              <w:rPr>
                <w:color w:val="000000"/>
                <w:sz w:val="18"/>
                <w:szCs w:val="18"/>
              </w:rPr>
            </w:pPr>
            <w:r w:rsidRPr="00B73A5A">
              <w:rPr>
                <w:color w:val="000000"/>
                <w:sz w:val="18"/>
                <w:szCs w:val="18"/>
              </w:rPr>
              <w:t>17.3335</w:t>
            </w:r>
          </w:p>
        </w:tc>
        <w:tc>
          <w:tcPr>
            <w:tcW w:w="2370" w:type="dxa"/>
            <w:tcBorders>
              <w:top w:val="nil"/>
              <w:bottom w:val="nil"/>
              <w:right w:val="single" w:sz="16" w:space="0" w:color="000000"/>
            </w:tcBorders>
            <w:shd w:val="clear" w:color="auto" w:fill="FFFFFF"/>
            <w:vAlign w:val="center"/>
          </w:tcPr>
          <w:p w:rsidR="00B73A5A" w:rsidRPr="00B73A5A" w:rsidRDefault="00B73A5A" w:rsidP="00F51824">
            <w:pPr>
              <w:autoSpaceDE w:val="0"/>
              <w:autoSpaceDN w:val="0"/>
              <w:adjustRightInd w:val="0"/>
              <w:ind w:left="60" w:right="60"/>
              <w:jc w:val="right"/>
              <w:rPr>
                <w:color w:val="000000"/>
                <w:sz w:val="18"/>
                <w:szCs w:val="18"/>
              </w:rPr>
            </w:pPr>
            <w:r w:rsidRPr="00B73A5A">
              <w:rPr>
                <w:color w:val="000000"/>
                <w:sz w:val="18"/>
                <w:szCs w:val="18"/>
              </w:rPr>
              <w:t>3.54266</w:t>
            </w:r>
          </w:p>
        </w:tc>
      </w:tr>
      <w:tr w:rsidR="00B73A5A" w:rsidRPr="00E85D81" w:rsidTr="00B73A5A">
        <w:trPr>
          <w:cantSplit/>
          <w:trHeight w:val="220"/>
          <w:jc w:val="center"/>
        </w:trPr>
        <w:tc>
          <w:tcPr>
            <w:tcW w:w="2146" w:type="dxa"/>
            <w:tcBorders>
              <w:top w:val="nil"/>
              <w:left w:val="single" w:sz="16" w:space="0" w:color="000000"/>
              <w:bottom w:val="nil"/>
              <w:right w:val="single" w:sz="16" w:space="0" w:color="000000"/>
            </w:tcBorders>
            <w:shd w:val="clear" w:color="auto" w:fill="FFFFFF"/>
          </w:tcPr>
          <w:p w:rsidR="00B73A5A" w:rsidRPr="00B73A5A" w:rsidRDefault="00B73A5A" w:rsidP="00B73A5A">
            <w:pPr>
              <w:autoSpaceDE w:val="0"/>
              <w:autoSpaceDN w:val="0"/>
              <w:adjustRightInd w:val="0"/>
              <w:ind w:right="60"/>
              <w:rPr>
                <w:color w:val="000000"/>
                <w:sz w:val="18"/>
                <w:szCs w:val="18"/>
              </w:rPr>
            </w:pPr>
            <w:r>
              <w:rPr>
                <w:color w:val="000000"/>
                <w:sz w:val="18"/>
                <w:szCs w:val="18"/>
              </w:rPr>
              <w:t xml:space="preserve">   </w:t>
            </w:r>
            <w:r w:rsidRPr="00B73A5A">
              <w:rPr>
                <w:color w:val="000000"/>
                <w:sz w:val="18"/>
                <w:szCs w:val="18"/>
              </w:rPr>
              <w:t>PBV</w:t>
            </w:r>
          </w:p>
        </w:tc>
        <w:tc>
          <w:tcPr>
            <w:tcW w:w="425" w:type="dxa"/>
            <w:tcBorders>
              <w:top w:val="nil"/>
              <w:left w:val="single" w:sz="16" w:space="0" w:color="000000"/>
              <w:bottom w:val="nil"/>
            </w:tcBorders>
            <w:shd w:val="clear" w:color="auto" w:fill="FFFFFF"/>
            <w:vAlign w:val="center"/>
          </w:tcPr>
          <w:p w:rsidR="00B73A5A" w:rsidRPr="00B73A5A" w:rsidRDefault="00B73A5A" w:rsidP="00F51824">
            <w:pPr>
              <w:autoSpaceDE w:val="0"/>
              <w:autoSpaceDN w:val="0"/>
              <w:adjustRightInd w:val="0"/>
              <w:ind w:left="60" w:right="60"/>
              <w:jc w:val="right"/>
              <w:rPr>
                <w:color w:val="000000"/>
                <w:sz w:val="18"/>
                <w:szCs w:val="18"/>
              </w:rPr>
            </w:pPr>
            <w:r w:rsidRPr="00B73A5A">
              <w:rPr>
                <w:color w:val="000000"/>
                <w:sz w:val="18"/>
                <w:szCs w:val="18"/>
              </w:rPr>
              <w:t>23</w:t>
            </w:r>
          </w:p>
        </w:tc>
        <w:tc>
          <w:tcPr>
            <w:tcW w:w="1276" w:type="dxa"/>
            <w:tcBorders>
              <w:top w:val="nil"/>
              <w:bottom w:val="nil"/>
            </w:tcBorders>
            <w:shd w:val="clear" w:color="auto" w:fill="FFFFFF"/>
            <w:vAlign w:val="center"/>
          </w:tcPr>
          <w:p w:rsidR="00B73A5A" w:rsidRPr="00B73A5A" w:rsidRDefault="00B73A5A" w:rsidP="00F51824">
            <w:pPr>
              <w:autoSpaceDE w:val="0"/>
              <w:autoSpaceDN w:val="0"/>
              <w:adjustRightInd w:val="0"/>
              <w:ind w:left="60" w:right="60"/>
              <w:jc w:val="right"/>
              <w:rPr>
                <w:color w:val="000000"/>
                <w:sz w:val="18"/>
                <w:szCs w:val="18"/>
              </w:rPr>
            </w:pPr>
            <w:r w:rsidRPr="00B73A5A">
              <w:rPr>
                <w:color w:val="000000"/>
                <w:sz w:val="18"/>
                <w:szCs w:val="18"/>
              </w:rPr>
              <w:t>.64</w:t>
            </w:r>
          </w:p>
        </w:tc>
        <w:tc>
          <w:tcPr>
            <w:tcW w:w="1276" w:type="dxa"/>
            <w:tcBorders>
              <w:top w:val="nil"/>
              <w:bottom w:val="nil"/>
            </w:tcBorders>
            <w:shd w:val="clear" w:color="auto" w:fill="FFFFFF"/>
            <w:vAlign w:val="center"/>
          </w:tcPr>
          <w:p w:rsidR="00B73A5A" w:rsidRPr="00B73A5A" w:rsidRDefault="00B73A5A" w:rsidP="00F51824">
            <w:pPr>
              <w:autoSpaceDE w:val="0"/>
              <w:autoSpaceDN w:val="0"/>
              <w:adjustRightInd w:val="0"/>
              <w:ind w:left="60" w:right="60"/>
              <w:jc w:val="right"/>
              <w:rPr>
                <w:color w:val="000000"/>
                <w:sz w:val="18"/>
                <w:szCs w:val="18"/>
              </w:rPr>
            </w:pPr>
            <w:r w:rsidRPr="00B73A5A">
              <w:rPr>
                <w:color w:val="000000"/>
                <w:sz w:val="18"/>
                <w:szCs w:val="18"/>
              </w:rPr>
              <w:t>4.33</w:t>
            </w:r>
          </w:p>
        </w:tc>
        <w:tc>
          <w:tcPr>
            <w:tcW w:w="1276" w:type="dxa"/>
            <w:tcBorders>
              <w:top w:val="nil"/>
              <w:bottom w:val="nil"/>
            </w:tcBorders>
            <w:shd w:val="clear" w:color="auto" w:fill="FFFFFF"/>
            <w:vAlign w:val="center"/>
          </w:tcPr>
          <w:p w:rsidR="00B73A5A" w:rsidRPr="00B73A5A" w:rsidRDefault="00B73A5A" w:rsidP="00F51824">
            <w:pPr>
              <w:autoSpaceDE w:val="0"/>
              <w:autoSpaceDN w:val="0"/>
              <w:adjustRightInd w:val="0"/>
              <w:ind w:left="60" w:right="60"/>
              <w:jc w:val="right"/>
              <w:rPr>
                <w:color w:val="000000"/>
                <w:sz w:val="18"/>
                <w:szCs w:val="18"/>
              </w:rPr>
            </w:pPr>
            <w:r w:rsidRPr="00B73A5A">
              <w:rPr>
                <w:color w:val="000000"/>
                <w:sz w:val="18"/>
                <w:szCs w:val="18"/>
              </w:rPr>
              <w:t>1.6122</w:t>
            </w:r>
          </w:p>
        </w:tc>
        <w:tc>
          <w:tcPr>
            <w:tcW w:w="2370" w:type="dxa"/>
            <w:tcBorders>
              <w:top w:val="nil"/>
              <w:bottom w:val="nil"/>
              <w:right w:val="single" w:sz="16" w:space="0" w:color="000000"/>
            </w:tcBorders>
            <w:shd w:val="clear" w:color="auto" w:fill="FFFFFF"/>
            <w:vAlign w:val="center"/>
          </w:tcPr>
          <w:p w:rsidR="00B73A5A" w:rsidRPr="00B73A5A" w:rsidRDefault="00B73A5A" w:rsidP="00F51824">
            <w:pPr>
              <w:autoSpaceDE w:val="0"/>
              <w:autoSpaceDN w:val="0"/>
              <w:adjustRightInd w:val="0"/>
              <w:ind w:left="60" w:right="60"/>
              <w:jc w:val="right"/>
              <w:rPr>
                <w:color w:val="000000"/>
                <w:sz w:val="18"/>
                <w:szCs w:val="18"/>
              </w:rPr>
            </w:pPr>
            <w:r w:rsidRPr="00B73A5A">
              <w:rPr>
                <w:color w:val="000000"/>
                <w:sz w:val="18"/>
                <w:szCs w:val="18"/>
              </w:rPr>
              <w:t>.90398</w:t>
            </w:r>
          </w:p>
        </w:tc>
      </w:tr>
      <w:tr w:rsidR="00B73A5A" w:rsidRPr="00E85D81" w:rsidTr="00B73A5A">
        <w:trPr>
          <w:cantSplit/>
          <w:trHeight w:val="220"/>
          <w:jc w:val="center"/>
        </w:trPr>
        <w:tc>
          <w:tcPr>
            <w:tcW w:w="2146" w:type="dxa"/>
            <w:tcBorders>
              <w:top w:val="nil"/>
              <w:left w:val="single" w:sz="16" w:space="0" w:color="000000"/>
              <w:bottom w:val="single" w:sz="16" w:space="0" w:color="000000"/>
              <w:right w:val="single" w:sz="16" w:space="0" w:color="000000"/>
            </w:tcBorders>
            <w:shd w:val="clear" w:color="auto" w:fill="FFFFFF"/>
          </w:tcPr>
          <w:p w:rsidR="00B73A5A" w:rsidRPr="00B73A5A" w:rsidRDefault="00B73A5A" w:rsidP="00F51824">
            <w:pPr>
              <w:autoSpaceDE w:val="0"/>
              <w:autoSpaceDN w:val="0"/>
              <w:adjustRightInd w:val="0"/>
              <w:ind w:left="60" w:right="60"/>
              <w:rPr>
                <w:color w:val="000000"/>
                <w:sz w:val="18"/>
                <w:szCs w:val="18"/>
              </w:rPr>
            </w:pPr>
            <w:r w:rsidRPr="00B73A5A">
              <w:rPr>
                <w:color w:val="000000"/>
                <w:sz w:val="18"/>
                <w:szCs w:val="18"/>
              </w:rPr>
              <w:t xml:space="preserve">      Valid N (listwise)</w:t>
            </w:r>
          </w:p>
        </w:tc>
        <w:tc>
          <w:tcPr>
            <w:tcW w:w="425" w:type="dxa"/>
            <w:tcBorders>
              <w:top w:val="nil"/>
              <w:left w:val="single" w:sz="16" w:space="0" w:color="000000"/>
              <w:bottom w:val="single" w:sz="16" w:space="0" w:color="000000"/>
            </w:tcBorders>
            <w:shd w:val="clear" w:color="auto" w:fill="FFFFFF"/>
            <w:vAlign w:val="center"/>
          </w:tcPr>
          <w:p w:rsidR="00B73A5A" w:rsidRPr="00B73A5A" w:rsidRDefault="00B73A5A" w:rsidP="00F51824">
            <w:pPr>
              <w:autoSpaceDE w:val="0"/>
              <w:autoSpaceDN w:val="0"/>
              <w:adjustRightInd w:val="0"/>
              <w:ind w:left="60" w:right="60"/>
              <w:jc w:val="right"/>
              <w:rPr>
                <w:color w:val="000000"/>
                <w:sz w:val="18"/>
                <w:szCs w:val="18"/>
              </w:rPr>
            </w:pPr>
            <w:r w:rsidRPr="00B73A5A">
              <w:rPr>
                <w:color w:val="000000"/>
                <w:sz w:val="18"/>
                <w:szCs w:val="18"/>
              </w:rPr>
              <w:t>23</w:t>
            </w:r>
          </w:p>
        </w:tc>
        <w:tc>
          <w:tcPr>
            <w:tcW w:w="1276" w:type="dxa"/>
            <w:tcBorders>
              <w:top w:val="nil"/>
              <w:bottom w:val="single" w:sz="16" w:space="0" w:color="000000"/>
            </w:tcBorders>
            <w:shd w:val="clear" w:color="auto" w:fill="FFFFFF"/>
            <w:vAlign w:val="center"/>
          </w:tcPr>
          <w:p w:rsidR="00B73A5A" w:rsidRPr="00B73A5A" w:rsidRDefault="00B73A5A" w:rsidP="00F51824">
            <w:pPr>
              <w:autoSpaceDE w:val="0"/>
              <w:autoSpaceDN w:val="0"/>
              <w:adjustRightInd w:val="0"/>
              <w:rPr>
                <w:sz w:val="18"/>
                <w:szCs w:val="18"/>
              </w:rPr>
            </w:pPr>
          </w:p>
        </w:tc>
        <w:tc>
          <w:tcPr>
            <w:tcW w:w="1276" w:type="dxa"/>
            <w:tcBorders>
              <w:top w:val="nil"/>
              <w:bottom w:val="single" w:sz="16" w:space="0" w:color="000000"/>
            </w:tcBorders>
            <w:shd w:val="clear" w:color="auto" w:fill="FFFFFF"/>
            <w:vAlign w:val="center"/>
          </w:tcPr>
          <w:p w:rsidR="00B73A5A" w:rsidRPr="00B73A5A" w:rsidRDefault="00B73A5A" w:rsidP="00F51824">
            <w:pPr>
              <w:autoSpaceDE w:val="0"/>
              <w:autoSpaceDN w:val="0"/>
              <w:adjustRightInd w:val="0"/>
              <w:rPr>
                <w:sz w:val="18"/>
                <w:szCs w:val="18"/>
              </w:rPr>
            </w:pPr>
          </w:p>
        </w:tc>
        <w:tc>
          <w:tcPr>
            <w:tcW w:w="1276" w:type="dxa"/>
            <w:tcBorders>
              <w:top w:val="nil"/>
              <w:bottom w:val="single" w:sz="16" w:space="0" w:color="000000"/>
            </w:tcBorders>
            <w:shd w:val="clear" w:color="auto" w:fill="FFFFFF"/>
            <w:vAlign w:val="center"/>
          </w:tcPr>
          <w:p w:rsidR="00B73A5A" w:rsidRPr="00B73A5A" w:rsidRDefault="00B73A5A" w:rsidP="00F51824">
            <w:pPr>
              <w:autoSpaceDE w:val="0"/>
              <w:autoSpaceDN w:val="0"/>
              <w:adjustRightInd w:val="0"/>
              <w:rPr>
                <w:sz w:val="18"/>
                <w:szCs w:val="18"/>
              </w:rPr>
            </w:pPr>
          </w:p>
        </w:tc>
        <w:tc>
          <w:tcPr>
            <w:tcW w:w="2370" w:type="dxa"/>
            <w:tcBorders>
              <w:top w:val="nil"/>
              <w:bottom w:val="single" w:sz="16" w:space="0" w:color="000000"/>
              <w:right w:val="single" w:sz="16" w:space="0" w:color="000000"/>
            </w:tcBorders>
            <w:shd w:val="clear" w:color="auto" w:fill="FFFFFF"/>
            <w:vAlign w:val="center"/>
          </w:tcPr>
          <w:p w:rsidR="00B73A5A" w:rsidRPr="00B73A5A" w:rsidRDefault="00B73A5A" w:rsidP="00F51824">
            <w:pPr>
              <w:autoSpaceDE w:val="0"/>
              <w:autoSpaceDN w:val="0"/>
              <w:adjustRightInd w:val="0"/>
              <w:rPr>
                <w:sz w:val="18"/>
                <w:szCs w:val="18"/>
              </w:rPr>
            </w:pPr>
          </w:p>
        </w:tc>
      </w:tr>
    </w:tbl>
    <w:p w:rsidR="00BC277E" w:rsidRDefault="00BC277E" w:rsidP="00BC277E">
      <w:pPr>
        <w:pStyle w:val="ListParagraph"/>
        <w:ind w:left="0"/>
      </w:pPr>
      <w:r w:rsidRPr="008C6A68">
        <w:rPr>
          <w:sz w:val="20"/>
        </w:rPr>
        <w:t xml:space="preserve">Sumber: hasil </w:t>
      </w:r>
      <w:r>
        <w:rPr>
          <w:sz w:val="20"/>
        </w:rPr>
        <w:t>output spss</w:t>
      </w:r>
    </w:p>
    <w:p w:rsidR="00BC277E" w:rsidRPr="008C6A68" w:rsidRDefault="00BC277E" w:rsidP="00BC277E">
      <w:pPr>
        <w:pStyle w:val="ListParagraph"/>
        <w:ind w:left="0"/>
        <w:jc w:val="center"/>
        <w:rPr>
          <w:sz w:val="14"/>
        </w:rPr>
      </w:pPr>
    </w:p>
    <w:p w:rsidR="001837D7" w:rsidRPr="001837D7" w:rsidRDefault="001837D7" w:rsidP="001837D7">
      <w:pPr>
        <w:autoSpaceDE w:val="0"/>
        <w:autoSpaceDN w:val="0"/>
        <w:adjustRightInd w:val="0"/>
        <w:spacing w:line="360" w:lineRule="auto"/>
        <w:ind w:firstLine="851"/>
        <w:jc w:val="both"/>
        <w:rPr>
          <w:sz w:val="22"/>
          <w:szCs w:val="22"/>
        </w:rPr>
      </w:pPr>
      <w:r w:rsidRPr="001837D7">
        <w:rPr>
          <w:sz w:val="22"/>
          <w:szCs w:val="22"/>
        </w:rPr>
        <w:t xml:space="preserve">Berdasarkan table 4.2 </w:t>
      </w:r>
      <w:r w:rsidRPr="001837D7">
        <w:rPr>
          <w:i/>
          <w:sz w:val="22"/>
          <w:szCs w:val="22"/>
        </w:rPr>
        <w:t>descriptive statistics</w:t>
      </w:r>
      <w:r w:rsidRPr="001837D7">
        <w:rPr>
          <w:sz w:val="22"/>
          <w:szCs w:val="22"/>
        </w:rPr>
        <w:t xml:space="preserve"> penelitian, terlihat bahwa dari 23 perusahaan perbankan yang menjadi sampel penelitian, variabel NPL mempunyai nilai rata-rata (mean) sebesar 2,5500 dengan standar deviasi sebesar 1,47049 dimana nilai standar deviasi ini lebih kecil dari nilai rata-rata NPL. Pada nilai minimum sebesar 0,31 dari nilai rata-ratanya, berbeda dengan nilai maksimum sebesar 5,88 yang lebih besar dari nilai rata-ratanya.</w:t>
      </w:r>
    </w:p>
    <w:p w:rsidR="00BC277E" w:rsidRPr="007E0174" w:rsidRDefault="00BC277E" w:rsidP="00BE3BC2">
      <w:pPr>
        <w:pStyle w:val="ListParagraph"/>
        <w:ind w:left="0"/>
        <w:jc w:val="center"/>
        <w:rPr>
          <w:sz w:val="22"/>
        </w:rPr>
      </w:pPr>
      <w:r w:rsidRPr="007E0174">
        <w:rPr>
          <w:sz w:val="22"/>
        </w:rPr>
        <w:t>Tabel 4.4</w:t>
      </w:r>
    </w:p>
    <w:p w:rsidR="00BC277E" w:rsidRPr="007E0174" w:rsidRDefault="00BC277E" w:rsidP="00BE3BC2">
      <w:pPr>
        <w:pStyle w:val="ListParagraph"/>
        <w:ind w:left="0"/>
        <w:jc w:val="center"/>
        <w:rPr>
          <w:sz w:val="22"/>
        </w:rPr>
      </w:pPr>
      <w:r w:rsidRPr="007E0174">
        <w:rPr>
          <w:sz w:val="22"/>
        </w:rPr>
        <w:t>Uji Normalitas</w:t>
      </w:r>
    </w:p>
    <w:p w:rsidR="001837D7" w:rsidRDefault="001837D7" w:rsidP="001837D7">
      <w:pPr>
        <w:pStyle w:val="ListParagraph"/>
        <w:ind w:left="0"/>
        <w:jc w:val="center"/>
        <w:rPr>
          <w:sz w:val="20"/>
        </w:rPr>
      </w:pPr>
      <w:r w:rsidRPr="001837D7">
        <w:rPr>
          <w:noProof/>
          <w:sz w:val="20"/>
          <w:lang w:val="id-ID" w:eastAsia="id-ID"/>
        </w:rPr>
        <w:drawing>
          <wp:inline distT="0" distB="0" distL="0" distR="0">
            <wp:extent cx="4096841" cy="29908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4095750" cy="2990850"/>
                    </a:xfrm>
                    <a:prstGeom prst="rect">
                      <a:avLst/>
                    </a:prstGeom>
                    <a:noFill/>
                    <a:ln w="9525">
                      <a:noFill/>
                      <a:miter lim="800000"/>
                      <a:headEnd/>
                      <a:tailEnd/>
                    </a:ln>
                  </pic:spPr>
                </pic:pic>
              </a:graphicData>
            </a:graphic>
          </wp:inline>
        </w:drawing>
      </w:r>
    </w:p>
    <w:p w:rsidR="00BC277E" w:rsidRDefault="00BC277E" w:rsidP="001837D7">
      <w:pPr>
        <w:pStyle w:val="ListParagraph"/>
        <w:ind w:left="0"/>
        <w:rPr>
          <w:sz w:val="20"/>
        </w:rPr>
      </w:pPr>
      <w:r w:rsidRPr="008C6A68">
        <w:rPr>
          <w:sz w:val="20"/>
        </w:rPr>
        <w:t xml:space="preserve">Sumber: hasil </w:t>
      </w:r>
      <w:r>
        <w:rPr>
          <w:sz w:val="20"/>
        </w:rPr>
        <w:t>output spss</w:t>
      </w:r>
    </w:p>
    <w:p w:rsidR="00BC277E" w:rsidRPr="008C6A68" w:rsidRDefault="00BC277E" w:rsidP="00BC277E">
      <w:pPr>
        <w:pStyle w:val="ListParagraph"/>
        <w:ind w:left="0"/>
        <w:rPr>
          <w:sz w:val="12"/>
        </w:rPr>
      </w:pPr>
    </w:p>
    <w:p w:rsidR="001837D7" w:rsidRDefault="001837D7" w:rsidP="001837D7">
      <w:pPr>
        <w:autoSpaceDE w:val="0"/>
        <w:autoSpaceDN w:val="0"/>
        <w:adjustRightInd w:val="0"/>
        <w:spacing w:line="360" w:lineRule="auto"/>
        <w:ind w:firstLine="851"/>
        <w:jc w:val="both"/>
        <w:rPr>
          <w:sz w:val="22"/>
          <w:szCs w:val="22"/>
        </w:rPr>
      </w:pPr>
      <w:r>
        <w:rPr>
          <w:sz w:val="22"/>
          <w:szCs w:val="22"/>
        </w:rPr>
        <w:t>U</w:t>
      </w:r>
      <w:r w:rsidRPr="00B73A5A">
        <w:rPr>
          <w:sz w:val="22"/>
          <w:szCs w:val="22"/>
        </w:rPr>
        <w:t>ji normalitas data menggunakan normalitas propability plot</w:t>
      </w:r>
      <w:r>
        <w:rPr>
          <w:sz w:val="22"/>
          <w:szCs w:val="22"/>
        </w:rPr>
        <w:t xml:space="preserve">. Yang </w:t>
      </w:r>
      <w:r w:rsidRPr="00B73A5A">
        <w:rPr>
          <w:sz w:val="22"/>
          <w:szCs w:val="22"/>
        </w:rPr>
        <w:t xml:space="preserve"> menunjukan</w:t>
      </w:r>
      <w:r>
        <w:rPr>
          <w:sz w:val="22"/>
          <w:szCs w:val="22"/>
        </w:rPr>
        <w:t xml:space="preserve"> hasil penelitian ini</w:t>
      </w:r>
      <w:r w:rsidRPr="00B73A5A">
        <w:rPr>
          <w:sz w:val="22"/>
          <w:szCs w:val="22"/>
        </w:rPr>
        <w:t xml:space="preserve"> bahwa penyebaran data berada di sekitar garis diagonal dan mengikuti garis diagonal, hal ini mengindikasikan bahwa data menunjukan pola distribusi normal.</w:t>
      </w:r>
    </w:p>
    <w:p w:rsidR="009B441A" w:rsidRDefault="009B441A" w:rsidP="001837D7">
      <w:pPr>
        <w:autoSpaceDE w:val="0"/>
        <w:autoSpaceDN w:val="0"/>
        <w:adjustRightInd w:val="0"/>
        <w:spacing w:line="360" w:lineRule="auto"/>
        <w:ind w:firstLine="851"/>
        <w:jc w:val="both"/>
        <w:rPr>
          <w:sz w:val="22"/>
          <w:szCs w:val="22"/>
        </w:rPr>
      </w:pPr>
    </w:p>
    <w:p w:rsidR="0036135D" w:rsidRDefault="0036135D" w:rsidP="001837D7">
      <w:pPr>
        <w:autoSpaceDE w:val="0"/>
        <w:autoSpaceDN w:val="0"/>
        <w:adjustRightInd w:val="0"/>
        <w:spacing w:line="360" w:lineRule="auto"/>
        <w:ind w:firstLine="851"/>
        <w:jc w:val="both"/>
        <w:rPr>
          <w:sz w:val="22"/>
          <w:szCs w:val="22"/>
        </w:rPr>
      </w:pPr>
    </w:p>
    <w:p w:rsidR="00F51824" w:rsidRDefault="00F51824" w:rsidP="00BA1ADD">
      <w:pPr>
        <w:autoSpaceDE w:val="0"/>
        <w:autoSpaceDN w:val="0"/>
        <w:adjustRightInd w:val="0"/>
        <w:spacing w:line="360" w:lineRule="auto"/>
        <w:jc w:val="both"/>
        <w:rPr>
          <w:sz w:val="22"/>
          <w:szCs w:val="22"/>
        </w:rPr>
      </w:pPr>
    </w:p>
    <w:p w:rsidR="001837D7" w:rsidRPr="009B441A" w:rsidRDefault="009B441A" w:rsidP="009B441A">
      <w:pPr>
        <w:autoSpaceDE w:val="0"/>
        <w:autoSpaceDN w:val="0"/>
        <w:adjustRightInd w:val="0"/>
        <w:spacing w:line="360" w:lineRule="auto"/>
        <w:jc w:val="both"/>
        <w:rPr>
          <w:i/>
          <w:sz w:val="22"/>
          <w:szCs w:val="22"/>
        </w:rPr>
      </w:pPr>
      <w:r w:rsidRPr="009B441A">
        <w:rPr>
          <w:i/>
          <w:sz w:val="22"/>
          <w:szCs w:val="22"/>
        </w:rPr>
        <w:t>4.2  Pembahasan</w:t>
      </w:r>
    </w:p>
    <w:p w:rsidR="00BC277E" w:rsidRPr="007E0174" w:rsidRDefault="00BC277E" w:rsidP="00BC277E">
      <w:pPr>
        <w:pStyle w:val="ListParagraph"/>
        <w:ind w:left="0"/>
        <w:jc w:val="center"/>
        <w:rPr>
          <w:sz w:val="22"/>
        </w:rPr>
      </w:pPr>
      <w:r w:rsidRPr="007E0174">
        <w:rPr>
          <w:sz w:val="22"/>
        </w:rPr>
        <w:t>Tabel 4.5</w:t>
      </w:r>
    </w:p>
    <w:p w:rsidR="00BC277E" w:rsidRDefault="009B441A" w:rsidP="00BC277E">
      <w:pPr>
        <w:pStyle w:val="ListParagraph"/>
        <w:ind w:left="0"/>
        <w:jc w:val="center"/>
        <w:rPr>
          <w:i/>
          <w:sz w:val="22"/>
        </w:rPr>
      </w:pPr>
      <w:r>
        <w:rPr>
          <w:i/>
          <w:sz w:val="22"/>
        </w:rPr>
        <w:t>Regresi parcial</w:t>
      </w:r>
    </w:p>
    <w:tbl>
      <w:tblPr>
        <w:tblW w:w="98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1900"/>
        <w:gridCol w:w="1150"/>
        <w:gridCol w:w="1152"/>
        <w:gridCol w:w="1269"/>
        <w:gridCol w:w="719"/>
        <w:gridCol w:w="2173"/>
        <w:gridCol w:w="742"/>
      </w:tblGrid>
      <w:tr w:rsidR="009B441A" w:rsidRPr="00D76CA6" w:rsidTr="009B441A">
        <w:trPr>
          <w:cantSplit/>
          <w:trHeight w:val="624"/>
        </w:trPr>
        <w:tc>
          <w:tcPr>
            <w:tcW w:w="9814" w:type="dxa"/>
            <w:gridSpan w:val="8"/>
            <w:tcBorders>
              <w:top w:val="nil"/>
              <w:left w:val="nil"/>
              <w:bottom w:val="nil"/>
              <w:right w:val="nil"/>
            </w:tcBorders>
            <w:shd w:val="clear" w:color="auto" w:fill="FFFFFF"/>
            <w:vAlign w:val="center"/>
          </w:tcPr>
          <w:p w:rsidR="009B441A" w:rsidRPr="009B441A" w:rsidRDefault="009B441A" w:rsidP="009B441A">
            <w:pPr>
              <w:autoSpaceDE w:val="0"/>
              <w:autoSpaceDN w:val="0"/>
              <w:adjustRightInd w:val="0"/>
              <w:ind w:left="60" w:right="60"/>
              <w:rPr>
                <w:color w:val="000000"/>
                <w:sz w:val="22"/>
                <w:szCs w:val="22"/>
              </w:rPr>
            </w:pPr>
            <w:r>
              <w:rPr>
                <w:b/>
                <w:bCs/>
                <w:color w:val="000000"/>
                <w:sz w:val="22"/>
                <w:szCs w:val="22"/>
              </w:rPr>
              <w:t xml:space="preserve">                                                                      </w:t>
            </w:r>
            <w:r w:rsidRPr="009B441A">
              <w:rPr>
                <w:b/>
                <w:bCs/>
                <w:color w:val="000000"/>
                <w:sz w:val="22"/>
                <w:szCs w:val="22"/>
              </w:rPr>
              <w:t>Coefficients</w:t>
            </w:r>
            <w:r w:rsidRPr="009B441A">
              <w:rPr>
                <w:b/>
                <w:bCs/>
                <w:color w:val="000000"/>
                <w:sz w:val="22"/>
                <w:szCs w:val="22"/>
                <w:vertAlign w:val="superscript"/>
              </w:rPr>
              <w:t>a</w:t>
            </w:r>
          </w:p>
        </w:tc>
      </w:tr>
      <w:tr w:rsidR="009B441A" w:rsidRPr="009B441A" w:rsidTr="009B441A">
        <w:trPr>
          <w:gridAfter w:val="1"/>
          <w:wAfter w:w="742" w:type="dxa"/>
          <w:cantSplit/>
          <w:trHeight w:val="462"/>
        </w:trPr>
        <w:tc>
          <w:tcPr>
            <w:tcW w:w="2609" w:type="dxa"/>
            <w:gridSpan w:val="2"/>
            <w:vMerge w:val="restart"/>
            <w:tcBorders>
              <w:top w:val="single" w:sz="16" w:space="0" w:color="000000"/>
              <w:left w:val="single" w:sz="16" w:space="0" w:color="000000"/>
              <w:bottom w:val="nil"/>
              <w:right w:val="nil"/>
            </w:tcBorders>
            <w:shd w:val="clear" w:color="auto" w:fill="FFFFFF"/>
            <w:vAlign w:val="bottom"/>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Model</w:t>
            </w:r>
          </w:p>
        </w:tc>
        <w:tc>
          <w:tcPr>
            <w:tcW w:w="2302" w:type="dxa"/>
            <w:gridSpan w:val="2"/>
            <w:tcBorders>
              <w:top w:val="single" w:sz="16" w:space="0" w:color="000000"/>
              <w:left w:val="single" w:sz="16" w:space="0" w:color="000000"/>
            </w:tcBorders>
            <w:shd w:val="clear" w:color="auto" w:fill="FFFFFF"/>
            <w:vAlign w:val="bottom"/>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Unstandardized Coefficients</w:t>
            </w:r>
          </w:p>
        </w:tc>
        <w:tc>
          <w:tcPr>
            <w:tcW w:w="1269" w:type="dxa"/>
            <w:tcBorders>
              <w:top w:val="single" w:sz="16" w:space="0" w:color="000000"/>
            </w:tcBorders>
            <w:shd w:val="clear" w:color="auto" w:fill="FFFFFF"/>
            <w:vAlign w:val="bottom"/>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Standardized Coefficients</w:t>
            </w:r>
          </w:p>
        </w:tc>
        <w:tc>
          <w:tcPr>
            <w:tcW w:w="719" w:type="dxa"/>
            <w:vMerge w:val="restart"/>
            <w:tcBorders>
              <w:top w:val="single" w:sz="16" w:space="0" w:color="000000"/>
            </w:tcBorders>
            <w:shd w:val="clear" w:color="auto" w:fill="FFFFFF"/>
            <w:vAlign w:val="bottom"/>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T</w:t>
            </w:r>
          </w:p>
        </w:tc>
        <w:tc>
          <w:tcPr>
            <w:tcW w:w="2173" w:type="dxa"/>
            <w:vMerge w:val="restart"/>
            <w:tcBorders>
              <w:top w:val="single" w:sz="16" w:space="0" w:color="000000"/>
            </w:tcBorders>
            <w:shd w:val="clear" w:color="auto" w:fill="FFFFFF"/>
            <w:vAlign w:val="bottom"/>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Sig.</w:t>
            </w:r>
          </w:p>
        </w:tc>
      </w:tr>
      <w:tr w:rsidR="009B441A" w:rsidRPr="009B441A" w:rsidTr="009B441A">
        <w:trPr>
          <w:gridAfter w:val="1"/>
          <w:wAfter w:w="742" w:type="dxa"/>
          <w:cantSplit/>
          <w:trHeight w:val="128"/>
        </w:trPr>
        <w:tc>
          <w:tcPr>
            <w:tcW w:w="2609" w:type="dxa"/>
            <w:gridSpan w:val="2"/>
            <w:vMerge/>
            <w:tcBorders>
              <w:top w:val="single" w:sz="16" w:space="0" w:color="000000"/>
              <w:left w:val="single" w:sz="16" w:space="0" w:color="000000"/>
              <w:bottom w:val="nil"/>
              <w:right w:val="nil"/>
            </w:tcBorders>
            <w:shd w:val="clear" w:color="auto" w:fill="FFFFFF"/>
            <w:vAlign w:val="bottom"/>
          </w:tcPr>
          <w:p w:rsidR="009B441A" w:rsidRPr="009B441A" w:rsidRDefault="009B441A" w:rsidP="009B441A">
            <w:pPr>
              <w:autoSpaceDE w:val="0"/>
              <w:autoSpaceDN w:val="0"/>
              <w:adjustRightInd w:val="0"/>
              <w:jc w:val="center"/>
              <w:rPr>
                <w:color w:val="000000"/>
                <w:sz w:val="22"/>
                <w:szCs w:val="22"/>
              </w:rPr>
            </w:pPr>
          </w:p>
        </w:tc>
        <w:tc>
          <w:tcPr>
            <w:tcW w:w="1150" w:type="dxa"/>
            <w:tcBorders>
              <w:left w:val="single" w:sz="16" w:space="0" w:color="000000"/>
              <w:bottom w:val="single" w:sz="16" w:space="0" w:color="000000"/>
            </w:tcBorders>
            <w:shd w:val="clear" w:color="auto" w:fill="FFFFFF"/>
            <w:vAlign w:val="bottom"/>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B</w:t>
            </w:r>
          </w:p>
        </w:tc>
        <w:tc>
          <w:tcPr>
            <w:tcW w:w="1152" w:type="dxa"/>
            <w:tcBorders>
              <w:bottom w:val="single" w:sz="16" w:space="0" w:color="000000"/>
            </w:tcBorders>
            <w:shd w:val="clear" w:color="auto" w:fill="FFFFFF"/>
            <w:vAlign w:val="bottom"/>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Std. Error</w:t>
            </w:r>
          </w:p>
        </w:tc>
        <w:tc>
          <w:tcPr>
            <w:tcW w:w="1269" w:type="dxa"/>
            <w:tcBorders>
              <w:bottom w:val="single" w:sz="16" w:space="0" w:color="000000"/>
            </w:tcBorders>
            <w:shd w:val="clear" w:color="auto" w:fill="FFFFFF"/>
            <w:vAlign w:val="bottom"/>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Beta</w:t>
            </w:r>
          </w:p>
        </w:tc>
        <w:tc>
          <w:tcPr>
            <w:tcW w:w="719" w:type="dxa"/>
            <w:vMerge/>
            <w:tcBorders>
              <w:top w:val="single" w:sz="16" w:space="0" w:color="000000"/>
            </w:tcBorders>
            <w:shd w:val="clear" w:color="auto" w:fill="FFFFFF"/>
            <w:vAlign w:val="bottom"/>
          </w:tcPr>
          <w:p w:rsidR="009B441A" w:rsidRPr="009B441A" w:rsidRDefault="009B441A" w:rsidP="009B441A">
            <w:pPr>
              <w:autoSpaceDE w:val="0"/>
              <w:autoSpaceDN w:val="0"/>
              <w:adjustRightInd w:val="0"/>
              <w:jc w:val="center"/>
              <w:rPr>
                <w:color w:val="000000"/>
                <w:sz w:val="22"/>
                <w:szCs w:val="22"/>
              </w:rPr>
            </w:pPr>
          </w:p>
        </w:tc>
        <w:tc>
          <w:tcPr>
            <w:tcW w:w="2173" w:type="dxa"/>
            <w:vMerge/>
            <w:tcBorders>
              <w:top w:val="single" w:sz="16" w:space="0" w:color="000000"/>
            </w:tcBorders>
            <w:shd w:val="clear" w:color="auto" w:fill="FFFFFF"/>
            <w:vAlign w:val="bottom"/>
          </w:tcPr>
          <w:p w:rsidR="009B441A" w:rsidRPr="009B441A" w:rsidRDefault="009B441A" w:rsidP="009B441A">
            <w:pPr>
              <w:autoSpaceDE w:val="0"/>
              <w:autoSpaceDN w:val="0"/>
              <w:adjustRightInd w:val="0"/>
              <w:jc w:val="center"/>
              <w:rPr>
                <w:color w:val="000000"/>
                <w:sz w:val="22"/>
                <w:szCs w:val="22"/>
              </w:rPr>
            </w:pPr>
          </w:p>
        </w:tc>
      </w:tr>
      <w:tr w:rsidR="009B441A" w:rsidRPr="009B441A" w:rsidTr="00F65885">
        <w:trPr>
          <w:gridAfter w:val="1"/>
          <w:wAfter w:w="742" w:type="dxa"/>
          <w:cantSplit/>
          <w:trHeight w:val="239"/>
        </w:trPr>
        <w:tc>
          <w:tcPr>
            <w:tcW w:w="709" w:type="dxa"/>
            <w:vMerge w:val="restart"/>
            <w:tcBorders>
              <w:top w:val="single" w:sz="16" w:space="0" w:color="000000"/>
              <w:left w:val="single" w:sz="16" w:space="0" w:color="000000"/>
              <w:bottom w:val="single" w:sz="16" w:space="0" w:color="000000"/>
              <w:right w:val="nil"/>
            </w:tcBorders>
            <w:shd w:val="clear" w:color="auto" w:fill="FFFFFF"/>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1</w:t>
            </w:r>
          </w:p>
        </w:tc>
        <w:tc>
          <w:tcPr>
            <w:tcW w:w="1900" w:type="dxa"/>
            <w:tcBorders>
              <w:top w:val="single" w:sz="16" w:space="0" w:color="000000"/>
              <w:left w:val="nil"/>
              <w:bottom w:val="nil"/>
              <w:right w:val="single" w:sz="16" w:space="0" w:color="000000"/>
            </w:tcBorders>
            <w:shd w:val="clear" w:color="auto" w:fill="FFFFFF"/>
          </w:tcPr>
          <w:p w:rsidR="009B441A" w:rsidRPr="009B441A" w:rsidRDefault="009B441A" w:rsidP="009B441A">
            <w:pPr>
              <w:autoSpaceDE w:val="0"/>
              <w:autoSpaceDN w:val="0"/>
              <w:adjustRightInd w:val="0"/>
              <w:ind w:right="60"/>
              <w:rPr>
                <w:color w:val="000000"/>
                <w:sz w:val="22"/>
                <w:szCs w:val="22"/>
              </w:rPr>
            </w:pPr>
            <w:r w:rsidRPr="009B441A">
              <w:rPr>
                <w:color w:val="000000"/>
                <w:sz w:val="22"/>
                <w:szCs w:val="22"/>
              </w:rPr>
              <w:t>(Constant)</w:t>
            </w:r>
          </w:p>
        </w:tc>
        <w:tc>
          <w:tcPr>
            <w:tcW w:w="1150" w:type="dxa"/>
            <w:tcBorders>
              <w:top w:val="single" w:sz="16" w:space="0" w:color="000000"/>
              <w:left w:val="single" w:sz="16" w:space="0" w:color="000000"/>
              <w:bottom w:val="nil"/>
            </w:tcBorders>
            <w:shd w:val="clear" w:color="auto" w:fill="FFFFFF"/>
            <w:vAlign w:val="center"/>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1.112</w:t>
            </w:r>
          </w:p>
        </w:tc>
        <w:tc>
          <w:tcPr>
            <w:tcW w:w="1152" w:type="dxa"/>
            <w:tcBorders>
              <w:top w:val="single" w:sz="16" w:space="0" w:color="000000"/>
              <w:bottom w:val="nil"/>
            </w:tcBorders>
            <w:shd w:val="clear" w:color="auto" w:fill="FFFFFF"/>
            <w:vAlign w:val="center"/>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2.063</w:t>
            </w:r>
          </w:p>
        </w:tc>
        <w:tc>
          <w:tcPr>
            <w:tcW w:w="1269" w:type="dxa"/>
            <w:tcBorders>
              <w:top w:val="single" w:sz="16" w:space="0" w:color="000000"/>
              <w:bottom w:val="nil"/>
            </w:tcBorders>
            <w:shd w:val="clear" w:color="auto" w:fill="FFFFFF"/>
            <w:vAlign w:val="center"/>
          </w:tcPr>
          <w:p w:rsidR="009B441A" w:rsidRPr="009B441A" w:rsidRDefault="009B441A" w:rsidP="009B441A">
            <w:pPr>
              <w:autoSpaceDE w:val="0"/>
              <w:autoSpaceDN w:val="0"/>
              <w:adjustRightInd w:val="0"/>
              <w:jc w:val="center"/>
              <w:rPr>
                <w:sz w:val="22"/>
                <w:szCs w:val="22"/>
              </w:rPr>
            </w:pPr>
          </w:p>
        </w:tc>
        <w:tc>
          <w:tcPr>
            <w:tcW w:w="719" w:type="dxa"/>
            <w:tcBorders>
              <w:top w:val="single" w:sz="16" w:space="0" w:color="000000"/>
              <w:bottom w:val="nil"/>
            </w:tcBorders>
            <w:shd w:val="clear" w:color="auto" w:fill="FFFFFF"/>
            <w:vAlign w:val="center"/>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.539</w:t>
            </w:r>
          </w:p>
        </w:tc>
        <w:tc>
          <w:tcPr>
            <w:tcW w:w="2173" w:type="dxa"/>
            <w:tcBorders>
              <w:top w:val="single" w:sz="16" w:space="0" w:color="000000"/>
              <w:bottom w:val="nil"/>
            </w:tcBorders>
            <w:shd w:val="clear" w:color="auto" w:fill="FFFFFF"/>
            <w:vAlign w:val="center"/>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.598</w:t>
            </w:r>
          </w:p>
        </w:tc>
      </w:tr>
      <w:tr w:rsidR="009B441A" w:rsidRPr="009B441A" w:rsidTr="00F65885">
        <w:trPr>
          <w:gridAfter w:val="1"/>
          <w:wAfter w:w="742" w:type="dxa"/>
          <w:cantSplit/>
          <w:trHeight w:val="128"/>
        </w:trPr>
        <w:tc>
          <w:tcPr>
            <w:tcW w:w="709" w:type="dxa"/>
            <w:vMerge/>
            <w:tcBorders>
              <w:top w:val="single" w:sz="16" w:space="0" w:color="000000"/>
              <w:left w:val="single" w:sz="16" w:space="0" w:color="000000"/>
              <w:bottom w:val="single" w:sz="16" w:space="0" w:color="000000"/>
              <w:right w:val="nil"/>
            </w:tcBorders>
            <w:shd w:val="clear" w:color="auto" w:fill="FFFFFF"/>
          </w:tcPr>
          <w:p w:rsidR="009B441A" w:rsidRPr="009B441A" w:rsidRDefault="009B441A" w:rsidP="009B441A">
            <w:pPr>
              <w:autoSpaceDE w:val="0"/>
              <w:autoSpaceDN w:val="0"/>
              <w:adjustRightInd w:val="0"/>
              <w:jc w:val="center"/>
              <w:rPr>
                <w:sz w:val="22"/>
                <w:szCs w:val="22"/>
              </w:rPr>
            </w:pPr>
          </w:p>
        </w:tc>
        <w:tc>
          <w:tcPr>
            <w:tcW w:w="1900" w:type="dxa"/>
            <w:tcBorders>
              <w:top w:val="nil"/>
              <w:left w:val="nil"/>
              <w:bottom w:val="nil"/>
              <w:right w:val="single" w:sz="16" w:space="0" w:color="000000"/>
            </w:tcBorders>
            <w:shd w:val="clear" w:color="auto" w:fill="FFFFFF"/>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NPL</w:t>
            </w:r>
          </w:p>
        </w:tc>
        <w:tc>
          <w:tcPr>
            <w:tcW w:w="1150" w:type="dxa"/>
            <w:tcBorders>
              <w:top w:val="nil"/>
              <w:left w:val="single" w:sz="16" w:space="0" w:color="000000"/>
              <w:bottom w:val="nil"/>
            </w:tcBorders>
            <w:shd w:val="clear" w:color="auto" w:fill="FFFFFF"/>
            <w:vAlign w:val="center"/>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-.256</w:t>
            </w:r>
          </w:p>
        </w:tc>
        <w:tc>
          <w:tcPr>
            <w:tcW w:w="1152" w:type="dxa"/>
            <w:tcBorders>
              <w:top w:val="nil"/>
              <w:bottom w:val="nil"/>
            </w:tcBorders>
            <w:shd w:val="clear" w:color="auto" w:fill="FFFFFF"/>
            <w:vAlign w:val="center"/>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.142</w:t>
            </w:r>
          </w:p>
        </w:tc>
        <w:tc>
          <w:tcPr>
            <w:tcW w:w="1269" w:type="dxa"/>
            <w:tcBorders>
              <w:top w:val="nil"/>
              <w:bottom w:val="nil"/>
            </w:tcBorders>
            <w:shd w:val="clear" w:color="auto" w:fill="FFFFFF"/>
            <w:vAlign w:val="center"/>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-.416</w:t>
            </w:r>
          </w:p>
        </w:tc>
        <w:tc>
          <w:tcPr>
            <w:tcW w:w="719" w:type="dxa"/>
            <w:tcBorders>
              <w:top w:val="nil"/>
              <w:bottom w:val="nil"/>
            </w:tcBorders>
            <w:shd w:val="clear" w:color="auto" w:fill="FFFFFF"/>
            <w:vAlign w:val="center"/>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-1.807</w:t>
            </w:r>
          </w:p>
        </w:tc>
        <w:tc>
          <w:tcPr>
            <w:tcW w:w="2173" w:type="dxa"/>
            <w:tcBorders>
              <w:top w:val="nil"/>
              <w:bottom w:val="nil"/>
            </w:tcBorders>
            <w:shd w:val="clear" w:color="auto" w:fill="FFFFFF"/>
            <w:vAlign w:val="center"/>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.092</w:t>
            </w:r>
          </w:p>
        </w:tc>
      </w:tr>
      <w:tr w:rsidR="009B441A" w:rsidRPr="009B441A" w:rsidTr="00F65885">
        <w:trPr>
          <w:gridAfter w:val="1"/>
          <w:wAfter w:w="742" w:type="dxa"/>
          <w:cantSplit/>
          <w:trHeight w:val="128"/>
        </w:trPr>
        <w:tc>
          <w:tcPr>
            <w:tcW w:w="709" w:type="dxa"/>
            <w:vMerge/>
            <w:tcBorders>
              <w:top w:val="single" w:sz="16" w:space="0" w:color="000000"/>
              <w:left w:val="single" w:sz="16" w:space="0" w:color="000000"/>
              <w:bottom w:val="single" w:sz="16" w:space="0" w:color="000000"/>
              <w:right w:val="nil"/>
            </w:tcBorders>
            <w:shd w:val="clear" w:color="auto" w:fill="FFFFFF"/>
          </w:tcPr>
          <w:p w:rsidR="009B441A" w:rsidRPr="009B441A" w:rsidRDefault="009B441A" w:rsidP="009B441A">
            <w:pPr>
              <w:autoSpaceDE w:val="0"/>
              <w:autoSpaceDN w:val="0"/>
              <w:adjustRightInd w:val="0"/>
              <w:jc w:val="center"/>
              <w:rPr>
                <w:color w:val="000000"/>
                <w:sz w:val="22"/>
                <w:szCs w:val="22"/>
              </w:rPr>
            </w:pPr>
          </w:p>
        </w:tc>
        <w:tc>
          <w:tcPr>
            <w:tcW w:w="1900" w:type="dxa"/>
            <w:tcBorders>
              <w:top w:val="nil"/>
              <w:left w:val="nil"/>
              <w:bottom w:val="nil"/>
              <w:right w:val="single" w:sz="16" w:space="0" w:color="000000"/>
            </w:tcBorders>
            <w:shd w:val="clear" w:color="auto" w:fill="FFFFFF"/>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PDN</w:t>
            </w:r>
          </w:p>
        </w:tc>
        <w:tc>
          <w:tcPr>
            <w:tcW w:w="1150" w:type="dxa"/>
            <w:tcBorders>
              <w:top w:val="nil"/>
              <w:left w:val="single" w:sz="16" w:space="0" w:color="000000"/>
              <w:bottom w:val="nil"/>
            </w:tcBorders>
            <w:shd w:val="clear" w:color="auto" w:fill="FFFFFF"/>
            <w:vAlign w:val="center"/>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.152</w:t>
            </w:r>
          </w:p>
        </w:tc>
        <w:tc>
          <w:tcPr>
            <w:tcW w:w="1152" w:type="dxa"/>
            <w:tcBorders>
              <w:top w:val="nil"/>
              <w:bottom w:val="nil"/>
            </w:tcBorders>
            <w:shd w:val="clear" w:color="auto" w:fill="FFFFFF"/>
            <w:vAlign w:val="center"/>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.147</w:t>
            </w:r>
          </w:p>
        </w:tc>
        <w:tc>
          <w:tcPr>
            <w:tcW w:w="1269" w:type="dxa"/>
            <w:tcBorders>
              <w:top w:val="nil"/>
              <w:bottom w:val="nil"/>
            </w:tcBorders>
            <w:shd w:val="clear" w:color="auto" w:fill="FFFFFF"/>
            <w:vAlign w:val="center"/>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.256</w:t>
            </w:r>
          </w:p>
        </w:tc>
        <w:tc>
          <w:tcPr>
            <w:tcW w:w="719" w:type="dxa"/>
            <w:tcBorders>
              <w:top w:val="nil"/>
              <w:bottom w:val="nil"/>
            </w:tcBorders>
            <w:shd w:val="clear" w:color="auto" w:fill="FFFFFF"/>
            <w:vAlign w:val="center"/>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1.031</w:t>
            </w:r>
          </w:p>
        </w:tc>
        <w:tc>
          <w:tcPr>
            <w:tcW w:w="2173" w:type="dxa"/>
            <w:tcBorders>
              <w:top w:val="nil"/>
              <w:bottom w:val="nil"/>
            </w:tcBorders>
            <w:shd w:val="clear" w:color="auto" w:fill="FFFFFF"/>
            <w:vAlign w:val="center"/>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.320</w:t>
            </w:r>
          </w:p>
        </w:tc>
      </w:tr>
      <w:tr w:rsidR="009B441A" w:rsidRPr="009B441A" w:rsidTr="00F65885">
        <w:trPr>
          <w:gridAfter w:val="1"/>
          <w:wAfter w:w="742" w:type="dxa"/>
          <w:cantSplit/>
          <w:trHeight w:val="128"/>
        </w:trPr>
        <w:tc>
          <w:tcPr>
            <w:tcW w:w="709" w:type="dxa"/>
            <w:vMerge/>
            <w:tcBorders>
              <w:top w:val="single" w:sz="16" w:space="0" w:color="000000"/>
              <w:left w:val="single" w:sz="16" w:space="0" w:color="000000"/>
              <w:bottom w:val="single" w:sz="16" w:space="0" w:color="000000"/>
              <w:right w:val="nil"/>
            </w:tcBorders>
            <w:shd w:val="clear" w:color="auto" w:fill="FFFFFF"/>
          </w:tcPr>
          <w:p w:rsidR="009B441A" w:rsidRPr="009B441A" w:rsidRDefault="009B441A" w:rsidP="009B441A">
            <w:pPr>
              <w:autoSpaceDE w:val="0"/>
              <w:autoSpaceDN w:val="0"/>
              <w:adjustRightInd w:val="0"/>
              <w:jc w:val="center"/>
              <w:rPr>
                <w:color w:val="000000"/>
                <w:sz w:val="22"/>
                <w:szCs w:val="22"/>
              </w:rPr>
            </w:pPr>
          </w:p>
        </w:tc>
        <w:tc>
          <w:tcPr>
            <w:tcW w:w="1900" w:type="dxa"/>
            <w:tcBorders>
              <w:top w:val="nil"/>
              <w:left w:val="nil"/>
              <w:bottom w:val="nil"/>
              <w:right w:val="single" w:sz="16" w:space="0" w:color="000000"/>
            </w:tcBorders>
            <w:shd w:val="clear" w:color="auto" w:fill="FFFFFF"/>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LDR</w:t>
            </w:r>
          </w:p>
        </w:tc>
        <w:tc>
          <w:tcPr>
            <w:tcW w:w="1150" w:type="dxa"/>
            <w:tcBorders>
              <w:top w:val="nil"/>
              <w:left w:val="single" w:sz="16" w:space="0" w:color="000000"/>
              <w:bottom w:val="nil"/>
            </w:tcBorders>
            <w:shd w:val="clear" w:color="auto" w:fill="FFFFFF"/>
            <w:vAlign w:val="center"/>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-.022</w:t>
            </w:r>
          </w:p>
        </w:tc>
        <w:tc>
          <w:tcPr>
            <w:tcW w:w="1152" w:type="dxa"/>
            <w:tcBorders>
              <w:top w:val="nil"/>
              <w:bottom w:val="nil"/>
            </w:tcBorders>
            <w:shd w:val="clear" w:color="auto" w:fill="FFFFFF"/>
            <w:vAlign w:val="center"/>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.022</w:t>
            </w:r>
          </w:p>
        </w:tc>
        <w:tc>
          <w:tcPr>
            <w:tcW w:w="1269" w:type="dxa"/>
            <w:tcBorders>
              <w:top w:val="nil"/>
              <w:bottom w:val="nil"/>
            </w:tcBorders>
            <w:shd w:val="clear" w:color="auto" w:fill="FFFFFF"/>
            <w:vAlign w:val="center"/>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-.242</w:t>
            </w:r>
          </w:p>
        </w:tc>
        <w:tc>
          <w:tcPr>
            <w:tcW w:w="719" w:type="dxa"/>
            <w:tcBorders>
              <w:top w:val="nil"/>
              <w:bottom w:val="nil"/>
            </w:tcBorders>
            <w:shd w:val="clear" w:color="auto" w:fill="FFFFFF"/>
            <w:vAlign w:val="center"/>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-.990</w:t>
            </w:r>
          </w:p>
        </w:tc>
        <w:tc>
          <w:tcPr>
            <w:tcW w:w="2173" w:type="dxa"/>
            <w:tcBorders>
              <w:top w:val="nil"/>
              <w:bottom w:val="nil"/>
            </w:tcBorders>
            <w:shd w:val="clear" w:color="auto" w:fill="FFFFFF"/>
            <w:vAlign w:val="center"/>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.339</w:t>
            </w:r>
          </w:p>
        </w:tc>
      </w:tr>
      <w:tr w:rsidR="009B441A" w:rsidRPr="009B441A" w:rsidTr="00F65885">
        <w:trPr>
          <w:gridAfter w:val="1"/>
          <w:wAfter w:w="742" w:type="dxa"/>
          <w:cantSplit/>
          <w:trHeight w:val="128"/>
        </w:trPr>
        <w:tc>
          <w:tcPr>
            <w:tcW w:w="709" w:type="dxa"/>
            <w:vMerge/>
            <w:tcBorders>
              <w:top w:val="single" w:sz="16" w:space="0" w:color="000000"/>
              <w:left w:val="single" w:sz="16" w:space="0" w:color="000000"/>
              <w:bottom w:val="single" w:sz="16" w:space="0" w:color="000000"/>
              <w:right w:val="nil"/>
            </w:tcBorders>
            <w:shd w:val="clear" w:color="auto" w:fill="FFFFFF"/>
          </w:tcPr>
          <w:p w:rsidR="009B441A" w:rsidRPr="009B441A" w:rsidRDefault="009B441A" w:rsidP="009B441A">
            <w:pPr>
              <w:autoSpaceDE w:val="0"/>
              <w:autoSpaceDN w:val="0"/>
              <w:adjustRightInd w:val="0"/>
              <w:jc w:val="center"/>
              <w:rPr>
                <w:color w:val="000000"/>
                <w:sz w:val="22"/>
                <w:szCs w:val="22"/>
              </w:rPr>
            </w:pPr>
          </w:p>
        </w:tc>
        <w:tc>
          <w:tcPr>
            <w:tcW w:w="1900" w:type="dxa"/>
            <w:tcBorders>
              <w:top w:val="nil"/>
              <w:left w:val="nil"/>
              <w:bottom w:val="nil"/>
              <w:right w:val="single" w:sz="16" w:space="0" w:color="000000"/>
            </w:tcBorders>
            <w:shd w:val="clear" w:color="auto" w:fill="FFFFFF"/>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KMI</w:t>
            </w:r>
          </w:p>
        </w:tc>
        <w:tc>
          <w:tcPr>
            <w:tcW w:w="1150" w:type="dxa"/>
            <w:tcBorders>
              <w:top w:val="nil"/>
              <w:left w:val="single" w:sz="16" w:space="0" w:color="000000"/>
              <w:bottom w:val="nil"/>
            </w:tcBorders>
            <w:shd w:val="clear" w:color="auto" w:fill="FFFFFF"/>
            <w:vAlign w:val="center"/>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.253</w:t>
            </w:r>
          </w:p>
        </w:tc>
        <w:tc>
          <w:tcPr>
            <w:tcW w:w="1152" w:type="dxa"/>
            <w:tcBorders>
              <w:top w:val="nil"/>
              <w:bottom w:val="nil"/>
            </w:tcBorders>
            <w:shd w:val="clear" w:color="auto" w:fill="FFFFFF"/>
            <w:vAlign w:val="center"/>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.189</w:t>
            </w:r>
          </w:p>
        </w:tc>
        <w:tc>
          <w:tcPr>
            <w:tcW w:w="1269" w:type="dxa"/>
            <w:tcBorders>
              <w:top w:val="nil"/>
              <w:bottom w:val="nil"/>
            </w:tcBorders>
            <w:shd w:val="clear" w:color="auto" w:fill="FFFFFF"/>
            <w:vAlign w:val="center"/>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.279</w:t>
            </w:r>
          </w:p>
        </w:tc>
        <w:tc>
          <w:tcPr>
            <w:tcW w:w="719" w:type="dxa"/>
            <w:tcBorders>
              <w:top w:val="nil"/>
              <w:bottom w:val="nil"/>
            </w:tcBorders>
            <w:shd w:val="clear" w:color="auto" w:fill="FFFFFF"/>
            <w:vAlign w:val="center"/>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1.335</w:t>
            </w:r>
          </w:p>
        </w:tc>
        <w:tc>
          <w:tcPr>
            <w:tcW w:w="2173" w:type="dxa"/>
            <w:tcBorders>
              <w:top w:val="nil"/>
              <w:bottom w:val="nil"/>
            </w:tcBorders>
            <w:shd w:val="clear" w:color="auto" w:fill="FFFFFF"/>
            <w:vAlign w:val="center"/>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.203</w:t>
            </w:r>
          </w:p>
        </w:tc>
      </w:tr>
      <w:tr w:rsidR="009B441A" w:rsidRPr="009B441A" w:rsidTr="00F65885">
        <w:trPr>
          <w:gridAfter w:val="1"/>
          <w:wAfter w:w="742" w:type="dxa"/>
          <w:cantSplit/>
          <w:trHeight w:val="128"/>
        </w:trPr>
        <w:tc>
          <w:tcPr>
            <w:tcW w:w="709" w:type="dxa"/>
            <w:vMerge/>
            <w:tcBorders>
              <w:top w:val="single" w:sz="16" w:space="0" w:color="000000"/>
              <w:left w:val="single" w:sz="16" w:space="0" w:color="000000"/>
              <w:bottom w:val="single" w:sz="16" w:space="0" w:color="000000"/>
              <w:right w:val="nil"/>
            </w:tcBorders>
            <w:shd w:val="clear" w:color="auto" w:fill="FFFFFF"/>
          </w:tcPr>
          <w:p w:rsidR="009B441A" w:rsidRPr="009B441A" w:rsidRDefault="009B441A" w:rsidP="009B441A">
            <w:pPr>
              <w:autoSpaceDE w:val="0"/>
              <w:autoSpaceDN w:val="0"/>
              <w:adjustRightInd w:val="0"/>
              <w:jc w:val="center"/>
              <w:rPr>
                <w:color w:val="000000"/>
                <w:sz w:val="22"/>
                <w:szCs w:val="22"/>
              </w:rPr>
            </w:pPr>
          </w:p>
        </w:tc>
        <w:tc>
          <w:tcPr>
            <w:tcW w:w="1900" w:type="dxa"/>
            <w:tcBorders>
              <w:top w:val="nil"/>
              <w:left w:val="nil"/>
              <w:bottom w:val="nil"/>
              <w:right w:val="single" w:sz="16" w:space="0" w:color="000000"/>
            </w:tcBorders>
            <w:shd w:val="clear" w:color="auto" w:fill="FFFFFF"/>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KKI</w:t>
            </w:r>
          </w:p>
        </w:tc>
        <w:tc>
          <w:tcPr>
            <w:tcW w:w="1150" w:type="dxa"/>
            <w:tcBorders>
              <w:top w:val="nil"/>
              <w:left w:val="single" w:sz="16" w:space="0" w:color="000000"/>
              <w:bottom w:val="nil"/>
            </w:tcBorders>
            <w:shd w:val="clear" w:color="auto" w:fill="FFFFFF"/>
            <w:vAlign w:val="center"/>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.007</w:t>
            </w:r>
          </w:p>
        </w:tc>
        <w:tc>
          <w:tcPr>
            <w:tcW w:w="1152" w:type="dxa"/>
            <w:tcBorders>
              <w:top w:val="nil"/>
              <w:bottom w:val="nil"/>
            </w:tcBorders>
            <w:shd w:val="clear" w:color="auto" w:fill="FFFFFF"/>
            <w:vAlign w:val="center"/>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.008</w:t>
            </w:r>
          </w:p>
        </w:tc>
        <w:tc>
          <w:tcPr>
            <w:tcW w:w="1269" w:type="dxa"/>
            <w:tcBorders>
              <w:top w:val="nil"/>
              <w:bottom w:val="nil"/>
            </w:tcBorders>
            <w:shd w:val="clear" w:color="auto" w:fill="FFFFFF"/>
            <w:vAlign w:val="center"/>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.187</w:t>
            </w:r>
          </w:p>
        </w:tc>
        <w:tc>
          <w:tcPr>
            <w:tcW w:w="719" w:type="dxa"/>
            <w:tcBorders>
              <w:top w:val="nil"/>
              <w:bottom w:val="nil"/>
            </w:tcBorders>
            <w:shd w:val="clear" w:color="auto" w:fill="FFFFFF"/>
            <w:vAlign w:val="center"/>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.964</w:t>
            </w:r>
          </w:p>
        </w:tc>
        <w:tc>
          <w:tcPr>
            <w:tcW w:w="2173" w:type="dxa"/>
            <w:tcBorders>
              <w:top w:val="nil"/>
              <w:bottom w:val="nil"/>
            </w:tcBorders>
            <w:shd w:val="clear" w:color="auto" w:fill="FFFFFF"/>
            <w:vAlign w:val="center"/>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.351</w:t>
            </w:r>
          </w:p>
        </w:tc>
      </w:tr>
      <w:tr w:rsidR="009B441A" w:rsidRPr="009B441A" w:rsidTr="00F65885">
        <w:trPr>
          <w:gridAfter w:val="1"/>
          <w:wAfter w:w="742" w:type="dxa"/>
          <w:cantSplit/>
          <w:trHeight w:val="128"/>
        </w:trPr>
        <w:tc>
          <w:tcPr>
            <w:tcW w:w="709" w:type="dxa"/>
            <w:vMerge/>
            <w:tcBorders>
              <w:top w:val="single" w:sz="16" w:space="0" w:color="000000"/>
              <w:left w:val="single" w:sz="16" w:space="0" w:color="000000"/>
              <w:bottom w:val="single" w:sz="16" w:space="0" w:color="000000"/>
              <w:right w:val="nil"/>
            </w:tcBorders>
            <w:shd w:val="clear" w:color="auto" w:fill="FFFFFF"/>
          </w:tcPr>
          <w:p w:rsidR="009B441A" w:rsidRPr="009B441A" w:rsidRDefault="009B441A" w:rsidP="009B441A">
            <w:pPr>
              <w:autoSpaceDE w:val="0"/>
              <w:autoSpaceDN w:val="0"/>
              <w:adjustRightInd w:val="0"/>
              <w:jc w:val="center"/>
              <w:rPr>
                <w:color w:val="000000"/>
                <w:sz w:val="22"/>
                <w:szCs w:val="22"/>
              </w:rPr>
            </w:pPr>
          </w:p>
        </w:tc>
        <w:tc>
          <w:tcPr>
            <w:tcW w:w="1900" w:type="dxa"/>
            <w:tcBorders>
              <w:top w:val="nil"/>
              <w:left w:val="nil"/>
              <w:bottom w:val="nil"/>
              <w:right w:val="single" w:sz="16" w:space="0" w:color="000000"/>
            </w:tcBorders>
            <w:shd w:val="clear" w:color="auto" w:fill="FFFFFF"/>
          </w:tcPr>
          <w:p w:rsidR="009B441A" w:rsidRPr="009B441A" w:rsidRDefault="009B441A" w:rsidP="009B441A">
            <w:pPr>
              <w:tabs>
                <w:tab w:val="center" w:pos="419"/>
              </w:tabs>
              <w:autoSpaceDE w:val="0"/>
              <w:autoSpaceDN w:val="0"/>
              <w:adjustRightInd w:val="0"/>
              <w:ind w:left="60" w:right="60"/>
              <w:jc w:val="center"/>
              <w:rPr>
                <w:color w:val="000000"/>
                <w:sz w:val="22"/>
                <w:szCs w:val="22"/>
              </w:rPr>
            </w:pPr>
            <w:r w:rsidRPr="009B441A">
              <w:rPr>
                <w:color w:val="000000"/>
                <w:sz w:val="22"/>
                <w:szCs w:val="22"/>
              </w:rPr>
              <w:t>KKKTA</w:t>
            </w:r>
          </w:p>
        </w:tc>
        <w:tc>
          <w:tcPr>
            <w:tcW w:w="1150" w:type="dxa"/>
            <w:tcBorders>
              <w:top w:val="nil"/>
              <w:left w:val="single" w:sz="16" w:space="0" w:color="000000"/>
              <w:bottom w:val="nil"/>
            </w:tcBorders>
            <w:shd w:val="clear" w:color="auto" w:fill="FFFFFF"/>
            <w:vAlign w:val="center"/>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.044</w:t>
            </w:r>
          </w:p>
        </w:tc>
        <w:tc>
          <w:tcPr>
            <w:tcW w:w="1152" w:type="dxa"/>
            <w:tcBorders>
              <w:top w:val="nil"/>
              <w:bottom w:val="nil"/>
            </w:tcBorders>
            <w:shd w:val="clear" w:color="auto" w:fill="FFFFFF"/>
            <w:vAlign w:val="center"/>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.158</w:t>
            </w:r>
          </w:p>
        </w:tc>
        <w:tc>
          <w:tcPr>
            <w:tcW w:w="1269" w:type="dxa"/>
            <w:tcBorders>
              <w:top w:val="nil"/>
              <w:bottom w:val="nil"/>
            </w:tcBorders>
            <w:shd w:val="clear" w:color="auto" w:fill="FFFFFF"/>
            <w:vAlign w:val="center"/>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.054</w:t>
            </w:r>
          </w:p>
        </w:tc>
        <w:tc>
          <w:tcPr>
            <w:tcW w:w="719" w:type="dxa"/>
            <w:tcBorders>
              <w:top w:val="nil"/>
              <w:bottom w:val="nil"/>
            </w:tcBorders>
            <w:shd w:val="clear" w:color="auto" w:fill="FFFFFF"/>
            <w:vAlign w:val="center"/>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.278</w:t>
            </w:r>
          </w:p>
        </w:tc>
        <w:tc>
          <w:tcPr>
            <w:tcW w:w="2173" w:type="dxa"/>
            <w:tcBorders>
              <w:top w:val="nil"/>
              <w:bottom w:val="nil"/>
            </w:tcBorders>
            <w:shd w:val="clear" w:color="auto" w:fill="FFFFFF"/>
            <w:vAlign w:val="center"/>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.785</w:t>
            </w:r>
          </w:p>
        </w:tc>
      </w:tr>
      <w:tr w:rsidR="009B441A" w:rsidRPr="009B441A" w:rsidTr="00F65885">
        <w:trPr>
          <w:gridAfter w:val="1"/>
          <w:wAfter w:w="742" w:type="dxa"/>
          <w:cantSplit/>
          <w:trHeight w:val="128"/>
        </w:trPr>
        <w:tc>
          <w:tcPr>
            <w:tcW w:w="709" w:type="dxa"/>
            <w:vMerge/>
            <w:tcBorders>
              <w:top w:val="single" w:sz="16" w:space="0" w:color="000000"/>
              <w:left w:val="single" w:sz="16" w:space="0" w:color="000000"/>
              <w:bottom w:val="single" w:sz="16" w:space="0" w:color="000000"/>
              <w:right w:val="nil"/>
            </w:tcBorders>
            <w:shd w:val="clear" w:color="auto" w:fill="FFFFFF"/>
          </w:tcPr>
          <w:p w:rsidR="009B441A" w:rsidRPr="009B441A" w:rsidRDefault="009B441A" w:rsidP="009B441A">
            <w:pPr>
              <w:autoSpaceDE w:val="0"/>
              <w:autoSpaceDN w:val="0"/>
              <w:adjustRightInd w:val="0"/>
              <w:jc w:val="center"/>
              <w:rPr>
                <w:color w:val="000000"/>
                <w:sz w:val="22"/>
                <w:szCs w:val="22"/>
              </w:rPr>
            </w:pPr>
          </w:p>
        </w:tc>
        <w:tc>
          <w:tcPr>
            <w:tcW w:w="1900" w:type="dxa"/>
            <w:tcBorders>
              <w:top w:val="nil"/>
              <w:left w:val="nil"/>
              <w:bottom w:val="nil"/>
              <w:right w:val="single" w:sz="16" w:space="0" w:color="000000"/>
            </w:tcBorders>
            <w:shd w:val="clear" w:color="auto" w:fill="FFFFFF"/>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NIM</w:t>
            </w:r>
          </w:p>
        </w:tc>
        <w:tc>
          <w:tcPr>
            <w:tcW w:w="1150" w:type="dxa"/>
            <w:tcBorders>
              <w:top w:val="nil"/>
              <w:left w:val="single" w:sz="16" w:space="0" w:color="000000"/>
              <w:bottom w:val="nil"/>
            </w:tcBorders>
            <w:shd w:val="clear" w:color="auto" w:fill="FFFFFF"/>
            <w:vAlign w:val="center"/>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.166</w:t>
            </w:r>
          </w:p>
        </w:tc>
        <w:tc>
          <w:tcPr>
            <w:tcW w:w="1152" w:type="dxa"/>
            <w:tcBorders>
              <w:top w:val="nil"/>
              <w:bottom w:val="nil"/>
            </w:tcBorders>
            <w:shd w:val="clear" w:color="auto" w:fill="FFFFFF"/>
            <w:vAlign w:val="center"/>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.090</w:t>
            </w:r>
          </w:p>
        </w:tc>
        <w:tc>
          <w:tcPr>
            <w:tcW w:w="1269" w:type="dxa"/>
            <w:tcBorders>
              <w:top w:val="nil"/>
              <w:bottom w:val="nil"/>
            </w:tcBorders>
            <w:shd w:val="clear" w:color="auto" w:fill="FFFFFF"/>
            <w:vAlign w:val="center"/>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.391</w:t>
            </w:r>
          </w:p>
        </w:tc>
        <w:tc>
          <w:tcPr>
            <w:tcW w:w="719" w:type="dxa"/>
            <w:tcBorders>
              <w:top w:val="nil"/>
              <w:bottom w:val="nil"/>
            </w:tcBorders>
            <w:shd w:val="clear" w:color="auto" w:fill="FFFFFF"/>
            <w:vAlign w:val="center"/>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1.849</w:t>
            </w:r>
          </w:p>
        </w:tc>
        <w:tc>
          <w:tcPr>
            <w:tcW w:w="2173" w:type="dxa"/>
            <w:tcBorders>
              <w:top w:val="nil"/>
              <w:bottom w:val="nil"/>
            </w:tcBorders>
            <w:shd w:val="clear" w:color="auto" w:fill="FFFFFF"/>
            <w:vAlign w:val="center"/>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.086</w:t>
            </w:r>
          </w:p>
        </w:tc>
      </w:tr>
      <w:tr w:rsidR="009B441A" w:rsidRPr="009B441A" w:rsidTr="00F65885">
        <w:trPr>
          <w:gridAfter w:val="1"/>
          <w:wAfter w:w="742" w:type="dxa"/>
          <w:cantSplit/>
          <w:trHeight w:val="128"/>
        </w:trPr>
        <w:tc>
          <w:tcPr>
            <w:tcW w:w="709" w:type="dxa"/>
            <w:vMerge/>
            <w:tcBorders>
              <w:top w:val="single" w:sz="16" w:space="0" w:color="000000"/>
              <w:left w:val="single" w:sz="16" w:space="0" w:color="000000"/>
              <w:bottom w:val="single" w:sz="16" w:space="0" w:color="000000"/>
              <w:right w:val="nil"/>
            </w:tcBorders>
            <w:shd w:val="clear" w:color="auto" w:fill="FFFFFF"/>
          </w:tcPr>
          <w:p w:rsidR="009B441A" w:rsidRPr="009B441A" w:rsidRDefault="009B441A" w:rsidP="009B441A">
            <w:pPr>
              <w:autoSpaceDE w:val="0"/>
              <w:autoSpaceDN w:val="0"/>
              <w:adjustRightInd w:val="0"/>
              <w:jc w:val="center"/>
              <w:rPr>
                <w:color w:val="000000"/>
                <w:sz w:val="22"/>
                <w:szCs w:val="22"/>
              </w:rPr>
            </w:pPr>
          </w:p>
        </w:tc>
        <w:tc>
          <w:tcPr>
            <w:tcW w:w="1900" w:type="dxa"/>
            <w:tcBorders>
              <w:top w:val="nil"/>
              <w:left w:val="nil"/>
              <w:bottom w:val="single" w:sz="16" w:space="0" w:color="000000"/>
              <w:right w:val="single" w:sz="16" w:space="0" w:color="000000"/>
            </w:tcBorders>
            <w:shd w:val="clear" w:color="auto" w:fill="FFFFFF"/>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CAR</w:t>
            </w:r>
          </w:p>
        </w:tc>
        <w:tc>
          <w:tcPr>
            <w:tcW w:w="1150" w:type="dxa"/>
            <w:tcBorders>
              <w:top w:val="nil"/>
              <w:left w:val="single" w:sz="16" w:space="0" w:color="000000"/>
              <w:bottom w:val="single" w:sz="16" w:space="0" w:color="000000"/>
            </w:tcBorders>
            <w:shd w:val="clear" w:color="auto" w:fill="FFFFFF"/>
            <w:vAlign w:val="center"/>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.024</w:t>
            </w:r>
          </w:p>
        </w:tc>
        <w:tc>
          <w:tcPr>
            <w:tcW w:w="1152" w:type="dxa"/>
            <w:tcBorders>
              <w:top w:val="nil"/>
              <w:bottom w:val="single" w:sz="16" w:space="0" w:color="000000"/>
            </w:tcBorders>
            <w:shd w:val="clear" w:color="auto" w:fill="FFFFFF"/>
            <w:vAlign w:val="center"/>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.054</w:t>
            </w:r>
          </w:p>
        </w:tc>
        <w:tc>
          <w:tcPr>
            <w:tcW w:w="1269" w:type="dxa"/>
            <w:tcBorders>
              <w:top w:val="nil"/>
              <w:bottom w:val="single" w:sz="16" w:space="0" w:color="000000"/>
            </w:tcBorders>
            <w:shd w:val="clear" w:color="auto" w:fill="FFFFFF"/>
            <w:vAlign w:val="center"/>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.094</w:t>
            </w:r>
          </w:p>
        </w:tc>
        <w:tc>
          <w:tcPr>
            <w:tcW w:w="719" w:type="dxa"/>
            <w:tcBorders>
              <w:top w:val="nil"/>
              <w:bottom w:val="single" w:sz="16" w:space="0" w:color="000000"/>
            </w:tcBorders>
            <w:shd w:val="clear" w:color="auto" w:fill="FFFFFF"/>
            <w:vAlign w:val="center"/>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.445</w:t>
            </w:r>
          </w:p>
        </w:tc>
        <w:tc>
          <w:tcPr>
            <w:tcW w:w="2173" w:type="dxa"/>
            <w:tcBorders>
              <w:top w:val="nil"/>
              <w:bottom w:val="single" w:sz="16" w:space="0" w:color="000000"/>
            </w:tcBorders>
            <w:shd w:val="clear" w:color="auto" w:fill="FFFFFF"/>
            <w:vAlign w:val="center"/>
          </w:tcPr>
          <w:p w:rsidR="009B441A" w:rsidRPr="009B441A" w:rsidRDefault="009B441A" w:rsidP="009B441A">
            <w:pPr>
              <w:autoSpaceDE w:val="0"/>
              <w:autoSpaceDN w:val="0"/>
              <w:adjustRightInd w:val="0"/>
              <w:ind w:left="60" w:right="60"/>
              <w:jc w:val="center"/>
              <w:rPr>
                <w:color w:val="000000"/>
                <w:sz w:val="22"/>
                <w:szCs w:val="22"/>
              </w:rPr>
            </w:pPr>
            <w:r w:rsidRPr="009B441A">
              <w:rPr>
                <w:color w:val="000000"/>
                <w:sz w:val="22"/>
                <w:szCs w:val="22"/>
              </w:rPr>
              <w:t>.663</w:t>
            </w:r>
          </w:p>
        </w:tc>
      </w:tr>
      <w:tr w:rsidR="009B441A" w:rsidRPr="00D76CA6" w:rsidTr="00F51824">
        <w:trPr>
          <w:cantSplit/>
          <w:trHeight w:val="424"/>
        </w:trPr>
        <w:tc>
          <w:tcPr>
            <w:tcW w:w="9814" w:type="dxa"/>
            <w:gridSpan w:val="8"/>
            <w:tcBorders>
              <w:top w:val="nil"/>
              <w:left w:val="nil"/>
              <w:bottom w:val="nil"/>
              <w:right w:val="nil"/>
            </w:tcBorders>
            <w:shd w:val="clear" w:color="auto" w:fill="FFFFFF"/>
          </w:tcPr>
          <w:p w:rsidR="009B441A" w:rsidRDefault="009B441A" w:rsidP="009B441A">
            <w:pPr>
              <w:pStyle w:val="ListParagraph"/>
              <w:numPr>
                <w:ilvl w:val="0"/>
                <w:numId w:val="12"/>
              </w:numPr>
              <w:autoSpaceDE w:val="0"/>
              <w:autoSpaceDN w:val="0"/>
              <w:adjustRightInd w:val="0"/>
              <w:ind w:left="426" w:right="60" w:hanging="426"/>
              <w:rPr>
                <w:color w:val="000000"/>
                <w:sz w:val="22"/>
                <w:szCs w:val="22"/>
              </w:rPr>
            </w:pPr>
            <w:r w:rsidRPr="009B441A">
              <w:rPr>
                <w:color w:val="000000"/>
                <w:sz w:val="22"/>
                <w:szCs w:val="22"/>
              </w:rPr>
              <w:t>Dependent Variable: PBV</w:t>
            </w:r>
          </w:p>
          <w:p w:rsidR="009B441A" w:rsidRPr="009B441A" w:rsidRDefault="009B441A" w:rsidP="008E6DCA">
            <w:pPr>
              <w:pStyle w:val="ListParagraph"/>
              <w:spacing w:after="100" w:afterAutospacing="1" w:line="360" w:lineRule="auto"/>
              <w:ind w:left="0"/>
              <w:rPr>
                <w:sz w:val="10"/>
              </w:rPr>
            </w:pPr>
            <w:r w:rsidRPr="008C6A68">
              <w:rPr>
                <w:sz w:val="20"/>
              </w:rPr>
              <w:t xml:space="preserve">Sumber: hasil </w:t>
            </w:r>
            <w:r>
              <w:rPr>
                <w:sz w:val="20"/>
              </w:rPr>
              <w:t>output spss</w:t>
            </w:r>
          </w:p>
        </w:tc>
      </w:tr>
    </w:tbl>
    <w:p w:rsidR="00F51824" w:rsidRPr="00BA1ADD" w:rsidRDefault="00F51824" w:rsidP="009B441A">
      <w:pPr>
        <w:pStyle w:val="ListParagraph"/>
        <w:ind w:left="0"/>
        <w:rPr>
          <w:i/>
          <w:sz w:val="2"/>
          <w:szCs w:val="2"/>
        </w:rPr>
      </w:pPr>
    </w:p>
    <w:p w:rsidR="009B441A" w:rsidRPr="009B441A" w:rsidRDefault="009B441A" w:rsidP="008E6DCA">
      <w:pPr>
        <w:spacing w:line="360" w:lineRule="auto"/>
        <w:ind w:firstLine="720"/>
        <w:jc w:val="both"/>
        <w:rPr>
          <w:sz w:val="22"/>
          <w:szCs w:val="22"/>
        </w:rPr>
      </w:pPr>
      <w:r w:rsidRPr="009B441A">
        <w:rPr>
          <w:sz w:val="22"/>
          <w:szCs w:val="22"/>
        </w:rPr>
        <w:t>Hasil pengujian hipotesis pertama menunjukkan bahwa hipotesis pertama diterima. Hasil pengujian menunjukkan bahwa resiko kredit memiliki pengaruh signifikan terhadap nilai perusahaan dengan nilai signifikansi 0,092 dimana nilai tersebut lebih kecil dari 0,1 (α = 10%). Hasil analisis ini tidak konsisten dengan hasil penelitian Haerani dan Karnawati (2015) yang menyatakan bahwa resiko kredit tidak memiliki pengaruh terhadap nilai perusahaan. Semakin sedikit resiko kredit yang dimiliki oleh bank maka akan memberikan sinyal kepada investor bahwa bank dapat mengelola perusahaan dengan baik. Hal ini dapat dijadikan acuan oleh investor dalam menganalisa suatu nilai perusahaan sebelum berinvestasi.</w:t>
      </w:r>
    </w:p>
    <w:p w:rsidR="009B441A" w:rsidRPr="009B441A" w:rsidRDefault="009B441A" w:rsidP="009B441A">
      <w:pPr>
        <w:spacing w:line="360" w:lineRule="auto"/>
        <w:ind w:firstLine="720"/>
        <w:jc w:val="both"/>
        <w:rPr>
          <w:sz w:val="22"/>
          <w:szCs w:val="22"/>
        </w:rPr>
      </w:pPr>
      <w:r w:rsidRPr="009B441A">
        <w:rPr>
          <w:sz w:val="22"/>
          <w:szCs w:val="22"/>
        </w:rPr>
        <w:t xml:space="preserve">Hasil pengujian hipotesis kedua menunjukkan bahwa hipotesis kedua ditolak. Hasil pengujian menunjukkan bahwa resiko pasar memiliki pengaruh positif dan tidak signifikan terhadap nilai perusahaan dengan nilai signifikansi 0,320 dimana nilai tersebut lebih besar dari 0,05 dan 0,1 (α = 5% dan 10%). </w:t>
      </w:r>
      <w:r w:rsidRPr="009B441A">
        <w:rPr>
          <w:rFonts w:eastAsia="Calibri"/>
          <w:sz w:val="22"/>
          <w:szCs w:val="22"/>
          <w:lang w:eastAsia="id-ID"/>
        </w:rPr>
        <w:t xml:space="preserve">Resiko pasar adalah pada posisi neraca dan rekening administratif termasuk transaksi derivatif, akibat perubahan secara keseluruhan dari kondisi pasar, termasuk risiko perubahan harga </w:t>
      </w:r>
      <w:r w:rsidRPr="009B441A">
        <w:rPr>
          <w:rFonts w:eastAsia="Calibri"/>
          <w:i/>
          <w:sz w:val="22"/>
          <w:szCs w:val="22"/>
          <w:lang w:eastAsia="id-ID"/>
        </w:rPr>
        <w:t xml:space="preserve">option. </w:t>
      </w:r>
      <w:r w:rsidRPr="009B441A">
        <w:rPr>
          <w:sz w:val="22"/>
          <w:szCs w:val="22"/>
        </w:rPr>
        <w:t>Menurut Prasidha (2015), Berdasarkan surat edaran BI Nomor 13/24/DPNP, indikator yang digunakan untuk mengukur resiko pasar yaitu Posisi Devisa Neto (PDN). Semakin tinggi rasio ini maka akan semakin beresiko suatu bank karena tidak bisa menjaga pengelolaan manajemen valuta asing dengan memonitor perdagangan valuta asing dalam posisi yang terkendali. Dengan kondisi yang sedemikian rupa tentunya prediksi kondisi bermasalah bank juga akan meningkat pula.</w:t>
      </w:r>
    </w:p>
    <w:p w:rsidR="009B441A" w:rsidRPr="009B441A" w:rsidRDefault="009B441A" w:rsidP="009B441A">
      <w:pPr>
        <w:spacing w:line="360" w:lineRule="auto"/>
        <w:ind w:firstLine="720"/>
        <w:jc w:val="both"/>
        <w:rPr>
          <w:sz w:val="22"/>
          <w:szCs w:val="22"/>
        </w:rPr>
      </w:pPr>
      <w:r w:rsidRPr="009B441A">
        <w:rPr>
          <w:sz w:val="22"/>
          <w:szCs w:val="22"/>
        </w:rPr>
        <w:t xml:space="preserve">Hasil pengujian ketiga menunjukkan bahwa resiko likuiditas memiliki pengaruh negatif dan tidak signifikan terhadap nilai perusahaan dengan nilai signifikansi 0,339 dimana nilai tersebut lebih besar dari 0,05 dan 0,1 (α = 5% dan 10%). </w:t>
      </w:r>
      <w:r w:rsidRPr="009B441A">
        <w:rPr>
          <w:rFonts w:eastAsia="Calibri"/>
          <w:sz w:val="22"/>
          <w:szCs w:val="22"/>
          <w:lang w:eastAsia="id-ID"/>
        </w:rPr>
        <w:t xml:space="preserve">Resiko Likuiditas adalah resiko  akibat  ketidakmampuan Bank  untuk  memenuhi  kewajiban  yang  jatuh  tempo  dari sumber  pendanaan  arus  kas, dan dari aset likuid berkualitas tinggi yang dapat diagunkan, tanpa mengganggu aktivitas dan kondisi keuangan  Bank.  Resiko ini  disebut  juga  resiko  likuiditas  pendanaan  </w:t>
      </w:r>
      <w:r w:rsidRPr="009B441A">
        <w:rPr>
          <w:rFonts w:eastAsia="Calibri"/>
          <w:i/>
          <w:sz w:val="22"/>
          <w:szCs w:val="22"/>
          <w:lang w:eastAsia="id-ID"/>
        </w:rPr>
        <w:t>(funding liquidity risk).</w:t>
      </w:r>
      <w:r w:rsidRPr="009B441A">
        <w:rPr>
          <w:rFonts w:eastAsia="Calibri"/>
          <w:sz w:val="22"/>
          <w:szCs w:val="22"/>
          <w:lang w:eastAsia="id-ID"/>
        </w:rPr>
        <w:t xml:space="preserve"> Resiko Likuiditas  juga  dapat  disebabkan  oleh ketidakmampuan  Bank  melikuidasi aset  tanpa  terkena diskon  yang material  karena tidak adanya pasar aktif atau adanya  gangguan  pasar </w:t>
      </w:r>
      <w:r w:rsidRPr="009B441A">
        <w:rPr>
          <w:rFonts w:eastAsia="Calibri"/>
          <w:i/>
          <w:sz w:val="22"/>
          <w:szCs w:val="22"/>
          <w:lang w:eastAsia="id-ID"/>
        </w:rPr>
        <w:t>(market  disruption)</w:t>
      </w:r>
      <w:r w:rsidRPr="009B441A">
        <w:rPr>
          <w:rFonts w:eastAsia="Calibri"/>
          <w:sz w:val="22"/>
          <w:szCs w:val="22"/>
          <w:lang w:eastAsia="id-ID"/>
        </w:rPr>
        <w:t xml:space="preserve"> yang  parah. Risiko ini disebut sebagai resiko likuiditas pasar </w:t>
      </w:r>
      <w:r w:rsidRPr="009B441A">
        <w:rPr>
          <w:rFonts w:eastAsia="Calibri"/>
          <w:i/>
          <w:sz w:val="22"/>
          <w:szCs w:val="22"/>
          <w:lang w:eastAsia="id-ID"/>
        </w:rPr>
        <w:t>(market liquidity risk).</w:t>
      </w:r>
      <w:r w:rsidRPr="009B441A">
        <w:rPr>
          <w:sz w:val="22"/>
          <w:szCs w:val="22"/>
        </w:rPr>
        <w:t xml:space="preserve"> Resiko Likuiditas menggambarkan seberapa jauh kemampuan bank dalam membayar kembali penarikan dana yang dilakukan deposan dengan mengandalkan kredit yang diberikan sebagai sumber likuiditasnya. Almilia dan Herdiningtyas (dalam Prasidha, 2015) LDR merupakan rasio untuk menilai likuiditas suatu bank dengan cara membagi total kredit yang diberikan oleh bank terhadap dana pihak ketiga yang dihimpun. Semakin tinggi rasio ini, semakin rendah kemampuan likuiditas bank yang bersangkutan, sehingga kemungkinan suatu bank dalam kondisi bermasalah akan semakin besar.</w:t>
      </w:r>
    </w:p>
    <w:p w:rsidR="009B441A" w:rsidRPr="009B441A" w:rsidRDefault="009B441A" w:rsidP="009B441A">
      <w:pPr>
        <w:spacing w:line="360" w:lineRule="auto"/>
        <w:ind w:firstLine="720"/>
        <w:jc w:val="both"/>
        <w:rPr>
          <w:sz w:val="22"/>
          <w:szCs w:val="22"/>
        </w:rPr>
      </w:pPr>
      <w:r w:rsidRPr="009B441A">
        <w:rPr>
          <w:sz w:val="22"/>
          <w:szCs w:val="22"/>
        </w:rPr>
        <w:t xml:space="preserve">Hasil pengujian hipotesis keempat menunjukkan bahwa hipotesis keempat ditolak. Hasil pengujian menunjukkan bahwa </w:t>
      </w:r>
      <w:r w:rsidRPr="009B441A">
        <w:rPr>
          <w:i/>
          <w:sz w:val="22"/>
          <w:szCs w:val="22"/>
        </w:rPr>
        <w:t>Good Corporate Governance</w:t>
      </w:r>
      <w:r w:rsidRPr="009B441A">
        <w:rPr>
          <w:sz w:val="22"/>
          <w:szCs w:val="22"/>
        </w:rPr>
        <w:t xml:space="preserve"> memiliki pengaruh positif dan tidak signifikan terhadap nilai perusahaan dengan nilai signifikansi masing-masing dari indikator komisaris independen, kepemilikan institutional dan komite audit adalah 0,203 0,351 dan 0,785 dimana nilai tersebut lebih besar dari 0,05 dan 0,1 (α = 5% dan 10%). Hasil analisis tersebut konsisten dengan hasil penelitian Haerani dan karnawati (2015), yang menyatakan bahwa GCG tidak ada pengaruh yang signifikan terhadap nilai perusahaan. Menurut Haerani, hal ini dikarenakan GCG merupakan alat untuk menyelaraskan antara kepentingan principal dengan agen sehingga bias sejalan dengan tujuan yang sama yaitu mencapai laba dan berkesinambungan yang dilihat oleh calon investor dan investor yaitu factor lain seperti kepercayaan dari masyarakat terhadap bank tersebut dan juga profitabilitasnya.</w:t>
      </w:r>
    </w:p>
    <w:p w:rsidR="009B441A" w:rsidRPr="009B441A" w:rsidRDefault="009B441A" w:rsidP="009B441A">
      <w:pPr>
        <w:spacing w:line="360" w:lineRule="auto"/>
        <w:ind w:firstLine="720"/>
        <w:jc w:val="both"/>
        <w:rPr>
          <w:sz w:val="22"/>
          <w:szCs w:val="22"/>
        </w:rPr>
      </w:pPr>
      <w:r w:rsidRPr="009B441A">
        <w:rPr>
          <w:sz w:val="22"/>
          <w:szCs w:val="22"/>
        </w:rPr>
        <w:t xml:space="preserve">Hasil pengujian hipotesis kelima menunjukkan bahwa hipotesis kelima diterima. Hasil pengujian menunjukkan bahwa </w:t>
      </w:r>
      <w:r w:rsidRPr="009B441A">
        <w:rPr>
          <w:i/>
          <w:sz w:val="22"/>
          <w:szCs w:val="22"/>
        </w:rPr>
        <w:t xml:space="preserve">earning </w:t>
      </w:r>
      <w:r w:rsidRPr="009B441A">
        <w:rPr>
          <w:sz w:val="22"/>
          <w:szCs w:val="22"/>
        </w:rPr>
        <w:t xml:space="preserve">(NIM) memiliki pengaruh positif dan signifikan terhadap nilai perusahaan dengan nilai signifikansi 0,086 dimana nilai tersebut lebih kecil dari 0,05 dan 0,1 (α = 5% dan 10%). Hasil analisis tersebut konsisten dengan penelitian Haerani dan Karnawati (2015) yang menyatakan bahwa </w:t>
      </w:r>
      <w:r w:rsidRPr="009B441A">
        <w:rPr>
          <w:i/>
          <w:sz w:val="22"/>
          <w:szCs w:val="22"/>
        </w:rPr>
        <w:t>earning</w:t>
      </w:r>
      <w:r w:rsidRPr="009B441A">
        <w:rPr>
          <w:sz w:val="22"/>
          <w:szCs w:val="22"/>
        </w:rPr>
        <w:t xml:space="preserve"> (NIM) memiliki pengaruh terhadap nilai perusahaan. </w:t>
      </w:r>
      <w:r w:rsidRPr="009B441A">
        <w:rPr>
          <w:sz w:val="22"/>
          <w:szCs w:val="22"/>
          <w:bdr w:val="none" w:sz="0" w:space="0" w:color="auto" w:frame="1"/>
          <w:lang w:eastAsia="id-ID"/>
        </w:rPr>
        <w:t xml:space="preserve">Menurut Munawir (2010 dalam Arisanti, 2014) </w:t>
      </w:r>
      <w:r w:rsidRPr="009B441A">
        <w:rPr>
          <w:iCs/>
          <w:sz w:val="22"/>
          <w:szCs w:val="22"/>
          <w:bdr w:val="none" w:sz="0" w:space="0" w:color="auto" w:frame="1"/>
          <w:lang w:eastAsia="id-ID"/>
        </w:rPr>
        <w:t>Rentabilitas adalah kemampuan perusahaan menghasilkan laba selama periode tertentu.</w:t>
      </w:r>
      <w:r w:rsidRPr="009B441A">
        <w:rPr>
          <w:sz w:val="22"/>
          <w:szCs w:val="22"/>
          <w:lang w:eastAsia="id-ID"/>
        </w:rPr>
        <w:t xml:space="preserve"> </w:t>
      </w:r>
      <w:r w:rsidRPr="009B441A">
        <w:rPr>
          <w:sz w:val="22"/>
          <w:szCs w:val="22"/>
          <w:bdr w:val="none" w:sz="0" w:space="0" w:color="auto" w:frame="1"/>
          <w:lang w:eastAsia="id-ID"/>
        </w:rPr>
        <w:t>Kegunaan rentabilitas juga untuk mengukur tingkat efisiensi usaha dan profitabilitas yang dicapai bank yang bersangkutan. Bank yang sehat adalah bank yang diukur secara rentabilitas yang terus meningkat diatas standar yang telah ditetapkan. Rentabilitas memiliki pengaruh terhadap nilai perusahaan karena kalau kemampuan perusahaan menghasilka  labanya tinggi maka nilai perusahaannya menjadi tinggi.</w:t>
      </w:r>
    </w:p>
    <w:p w:rsidR="009B441A" w:rsidRPr="009B441A" w:rsidRDefault="009B441A" w:rsidP="00C15D80">
      <w:pPr>
        <w:spacing w:line="360" w:lineRule="auto"/>
        <w:ind w:firstLine="720"/>
        <w:jc w:val="both"/>
        <w:rPr>
          <w:sz w:val="22"/>
          <w:szCs w:val="22"/>
        </w:rPr>
      </w:pPr>
      <w:r w:rsidRPr="009B441A">
        <w:rPr>
          <w:sz w:val="22"/>
          <w:szCs w:val="22"/>
        </w:rPr>
        <w:t xml:space="preserve">Hasil pengujian hipotesis keenam menunjukkan bahwa hipotesis kelima ditolak. Hasil pengujian menunjukkan bahwa </w:t>
      </w:r>
      <w:r w:rsidRPr="009B441A">
        <w:rPr>
          <w:i/>
          <w:sz w:val="22"/>
          <w:szCs w:val="22"/>
        </w:rPr>
        <w:t xml:space="preserve">capital </w:t>
      </w:r>
      <w:r w:rsidRPr="009B441A">
        <w:rPr>
          <w:sz w:val="22"/>
          <w:szCs w:val="22"/>
        </w:rPr>
        <w:t xml:space="preserve">(CAR) memiliki pengaruh positif dan tidak signifikan terhadap nilai perusahaan dengan nilai signifikansi 0,663 dimana nilai tersebut lebih besar dari 0,05 dan 0,1 (α = 5% dan 10%). Hasil analisis tersebut tidak konsisten dengan penelitian Haerani dan Karnawati (2015) yang menyatakan bahwa </w:t>
      </w:r>
      <w:r w:rsidRPr="009B441A">
        <w:rPr>
          <w:i/>
          <w:sz w:val="22"/>
          <w:szCs w:val="22"/>
        </w:rPr>
        <w:t>capital</w:t>
      </w:r>
      <w:r w:rsidRPr="009B441A">
        <w:rPr>
          <w:sz w:val="22"/>
          <w:szCs w:val="22"/>
        </w:rPr>
        <w:t xml:space="preserve"> (CAR) tidak memiliki pengaruh terhadap nilai perusahaan. Menurut peraturan Bank Indonesia No.13/1/PBI/2011 dalam melakukan perhitungan permodalan, bank wajib mengacu dengan ketentuan BI yang mengatur mengenai kewajiban penyediaan modal minimum bagi bank umum. Jadi permodalan pada perusahaan perbankan tidak dapat mempengaruhi nilai perusahaan karena memang perhitungan minimum bank itu sudah ditentukan oleh peraturan sehingga nilai perusahaan tidak dapat dipengaruhi oleh permodalan.</w:t>
      </w:r>
    </w:p>
    <w:p w:rsidR="00F51824" w:rsidRDefault="00BC277E" w:rsidP="00C15D80">
      <w:pPr>
        <w:pStyle w:val="ListParagraph"/>
        <w:numPr>
          <w:ilvl w:val="0"/>
          <w:numId w:val="6"/>
        </w:numPr>
        <w:spacing w:line="360" w:lineRule="auto"/>
        <w:ind w:left="283" w:hanging="284"/>
        <w:jc w:val="both"/>
        <w:rPr>
          <w:b/>
          <w:sz w:val="22"/>
        </w:rPr>
      </w:pPr>
      <w:r w:rsidRPr="007E0174">
        <w:rPr>
          <w:b/>
          <w:sz w:val="22"/>
        </w:rPr>
        <w:t>SIMPULAN</w:t>
      </w:r>
    </w:p>
    <w:p w:rsidR="00F51824" w:rsidRDefault="00F51824" w:rsidP="00F51824">
      <w:pPr>
        <w:spacing w:after="240" w:line="360" w:lineRule="auto"/>
        <w:ind w:firstLine="851"/>
        <w:jc w:val="both"/>
        <w:rPr>
          <w:sz w:val="22"/>
          <w:szCs w:val="22"/>
        </w:rPr>
      </w:pPr>
      <w:r w:rsidRPr="00F51824">
        <w:rPr>
          <w:sz w:val="22"/>
          <w:szCs w:val="22"/>
        </w:rPr>
        <w:t>Berdasarkan hasil penelitian yang telah dilakukan, maka dapat dibuat kesimpulan sebagai berikut.  Variabel NPL dan NIM berpengaruh signifikan terhadap nilai perusahaan. PDN, LDR, komisaris independen, komite audit, Kepemilikan institusional, NIM, DAN CAR tidak berpengaruh signifikan terhadap nilai perusahaan</w:t>
      </w:r>
      <w:r>
        <w:rPr>
          <w:sz w:val="22"/>
          <w:szCs w:val="22"/>
        </w:rPr>
        <w:t>. Hasil ini menunjukan bahwa kegiatan kredit di bank sangat mempengaruhi nilai perusahaan karena jika bank tidak mampu meminimalkan resiko kredit maka akan menurunkan nilai perusahaan dan kemampuan bank menghasilkan laba juga memiliki peran untuk nilai perusahaan karena semakin tinggi bank meninkatkan penghasilkan maka menunjukan nilai perusahaan yang tinggi.</w:t>
      </w:r>
    </w:p>
    <w:p w:rsidR="0036135D" w:rsidRDefault="0036135D" w:rsidP="00F51824">
      <w:pPr>
        <w:spacing w:after="240" w:line="360" w:lineRule="auto"/>
        <w:ind w:firstLine="851"/>
        <w:jc w:val="both"/>
        <w:rPr>
          <w:sz w:val="22"/>
          <w:szCs w:val="22"/>
        </w:rPr>
      </w:pPr>
    </w:p>
    <w:p w:rsidR="0036135D" w:rsidRDefault="0036135D" w:rsidP="00F51824">
      <w:pPr>
        <w:spacing w:after="240" w:line="360" w:lineRule="auto"/>
        <w:ind w:firstLine="851"/>
        <w:jc w:val="both"/>
        <w:rPr>
          <w:sz w:val="22"/>
          <w:szCs w:val="22"/>
        </w:rPr>
      </w:pPr>
    </w:p>
    <w:p w:rsidR="0036135D" w:rsidRDefault="0036135D" w:rsidP="00F51824">
      <w:pPr>
        <w:spacing w:after="240" w:line="360" w:lineRule="auto"/>
        <w:ind w:firstLine="851"/>
        <w:jc w:val="both"/>
        <w:rPr>
          <w:sz w:val="22"/>
          <w:szCs w:val="22"/>
        </w:rPr>
      </w:pPr>
    </w:p>
    <w:p w:rsidR="0036135D" w:rsidRDefault="0036135D" w:rsidP="00F51824">
      <w:pPr>
        <w:spacing w:after="240" w:line="360" w:lineRule="auto"/>
        <w:ind w:firstLine="851"/>
        <w:jc w:val="both"/>
        <w:rPr>
          <w:sz w:val="22"/>
          <w:szCs w:val="22"/>
        </w:rPr>
      </w:pPr>
    </w:p>
    <w:p w:rsidR="0036135D" w:rsidRDefault="0036135D" w:rsidP="00F51824">
      <w:pPr>
        <w:spacing w:after="240" w:line="360" w:lineRule="auto"/>
        <w:ind w:firstLine="851"/>
        <w:jc w:val="both"/>
        <w:rPr>
          <w:sz w:val="22"/>
          <w:szCs w:val="22"/>
        </w:rPr>
      </w:pPr>
    </w:p>
    <w:p w:rsidR="0036135D" w:rsidRDefault="0036135D" w:rsidP="00F51824">
      <w:pPr>
        <w:spacing w:after="240" w:line="360" w:lineRule="auto"/>
        <w:ind w:firstLine="851"/>
        <w:jc w:val="both"/>
        <w:rPr>
          <w:sz w:val="22"/>
          <w:szCs w:val="22"/>
        </w:rPr>
      </w:pPr>
    </w:p>
    <w:p w:rsidR="0036135D" w:rsidRDefault="0036135D" w:rsidP="00F51824">
      <w:pPr>
        <w:spacing w:after="240" w:line="360" w:lineRule="auto"/>
        <w:ind w:firstLine="851"/>
        <w:jc w:val="both"/>
        <w:rPr>
          <w:sz w:val="22"/>
          <w:szCs w:val="22"/>
        </w:rPr>
      </w:pPr>
    </w:p>
    <w:p w:rsidR="0036135D" w:rsidRDefault="0036135D" w:rsidP="00F51824">
      <w:pPr>
        <w:spacing w:after="240" w:line="360" w:lineRule="auto"/>
        <w:ind w:firstLine="851"/>
        <w:jc w:val="both"/>
        <w:rPr>
          <w:sz w:val="22"/>
          <w:szCs w:val="22"/>
        </w:rPr>
      </w:pPr>
    </w:p>
    <w:p w:rsidR="0036135D" w:rsidRDefault="0036135D" w:rsidP="00F51824">
      <w:pPr>
        <w:spacing w:after="240" w:line="360" w:lineRule="auto"/>
        <w:ind w:firstLine="851"/>
        <w:jc w:val="both"/>
        <w:rPr>
          <w:sz w:val="22"/>
          <w:szCs w:val="22"/>
        </w:rPr>
      </w:pPr>
    </w:p>
    <w:p w:rsidR="0036135D" w:rsidRDefault="0036135D" w:rsidP="00F51824">
      <w:pPr>
        <w:spacing w:after="240" w:line="360" w:lineRule="auto"/>
        <w:ind w:firstLine="851"/>
        <w:jc w:val="both"/>
        <w:rPr>
          <w:sz w:val="22"/>
          <w:szCs w:val="22"/>
        </w:rPr>
      </w:pPr>
    </w:p>
    <w:p w:rsidR="0036135D" w:rsidRDefault="0036135D" w:rsidP="00F51824">
      <w:pPr>
        <w:spacing w:after="240" w:line="360" w:lineRule="auto"/>
        <w:ind w:firstLine="851"/>
        <w:jc w:val="both"/>
        <w:rPr>
          <w:sz w:val="22"/>
          <w:szCs w:val="22"/>
        </w:rPr>
      </w:pPr>
    </w:p>
    <w:p w:rsidR="0036135D" w:rsidRPr="00F51824" w:rsidRDefault="0036135D" w:rsidP="0036135D">
      <w:pPr>
        <w:spacing w:after="240" w:line="360" w:lineRule="auto"/>
        <w:jc w:val="both"/>
        <w:rPr>
          <w:b/>
          <w:sz w:val="22"/>
          <w:szCs w:val="22"/>
        </w:rPr>
      </w:pPr>
    </w:p>
    <w:p w:rsidR="00BC277E" w:rsidRPr="007E0174" w:rsidRDefault="00BC277E" w:rsidP="00BC277E">
      <w:pPr>
        <w:spacing w:line="360" w:lineRule="auto"/>
        <w:jc w:val="both"/>
        <w:rPr>
          <w:b/>
          <w:sz w:val="22"/>
        </w:rPr>
      </w:pPr>
      <w:r w:rsidRPr="007E0174">
        <w:rPr>
          <w:b/>
          <w:sz w:val="22"/>
        </w:rPr>
        <w:t>REFERENSI</w:t>
      </w:r>
    </w:p>
    <w:p w:rsidR="00BC277E" w:rsidRPr="006A3D55" w:rsidRDefault="00BC277E" w:rsidP="0036135D">
      <w:pPr>
        <w:pStyle w:val="Bibliography"/>
        <w:spacing w:after="120" w:line="360" w:lineRule="auto"/>
        <w:ind w:left="720" w:hanging="720"/>
        <w:jc w:val="both"/>
        <w:rPr>
          <w:rFonts w:ascii="Times New Roman" w:hAnsi="Times New Roman"/>
          <w:lang w:val="id-ID"/>
        </w:rPr>
      </w:pPr>
      <w:r w:rsidRPr="006A3D55">
        <w:rPr>
          <w:rFonts w:ascii="Times New Roman" w:hAnsi="Times New Roman"/>
          <w:i/>
          <w:iCs/>
          <w:lang w:val="id-ID"/>
        </w:rPr>
        <w:t>Bank Sentral Republik Indonesia</w:t>
      </w:r>
      <w:r w:rsidRPr="006A3D55">
        <w:rPr>
          <w:rFonts w:ascii="Times New Roman" w:hAnsi="Times New Roman"/>
          <w:lang w:val="id-ID"/>
        </w:rPr>
        <w:t xml:space="preserve">. Dipetik November 3, 2015, dari </w:t>
      </w:r>
      <w:r w:rsidRPr="00CA4427">
        <w:rPr>
          <w:rFonts w:ascii="Times New Roman" w:hAnsi="Times New Roman"/>
          <w:color w:val="0070C0"/>
          <w:u w:val="single"/>
          <w:lang w:val="id-ID"/>
        </w:rPr>
        <w:t>www.bi.go.id</w:t>
      </w:r>
    </w:p>
    <w:p w:rsidR="008E6DCA" w:rsidRPr="00C62352" w:rsidRDefault="008E6DCA" w:rsidP="0036135D">
      <w:pPr>
        <w:spacing w:line="360" w:lineRule="auto"/>
        <w:ind w:left="567" w:hanging="567"/>
        <w:jc w:val="both"/>
      </w:pPr>
      <w:r w:rsidRPr="00C62352">
        <w:rPr>
          <w:u w:val="single"/>
        </w:rPr>
        <w:t xml:space="preserve">                           </w:t>
      </w:r>
      <w:r w:rsidRPr="00C62352">
        <w:t xml:space="preserve">. 2011. </w:t>
      </w:r>
      <w:r w:rsidRPr="00C62352">
        <w:rPr>
          <w:i/>
        </w:rPr>
        <w:t xml:space="preserve">Surat Edaran Bank Indonesia No. 13/24/DPNP tentang Penilaian Tingkat Kesehatan Bank. </w:t>
      </w:r>
      <w:r w:rsidRPr="00C62352">
        <w:t>Jakarta: Bank Indonesia.</w:t>
      </w:r>
    </w:p>
    <w:p w:rsidR="008E6DCA" w:rsidRPr="00C62352" w:rsidRDefault="008E6DCA" w:rsidP="0036135D">
      <w:pPr>
        <w:spacing w:line="360" w:lineRule="auto"/>
        <w:ind w:left="567" w:hanging="567"/>
        <w:jc w:val="both"/>
      </w:pPr>
      <w:r w:rsidRPr="00C62352">
        <w:rPr>
          <w:u w:val="single"/>
        </w:rPr>
        <w:t xml:space="preserve">                           </w:t>
      </w:r>
      <w:r w:rsidRPr="00C62352">
        <w:t xml:space="preserve">. 2011. </w:t>
      </w:r>
      <w:r w:rsidRPr="00C62352">
        <w:rPr>
          <w:i/>
        </w:rPr>
        <w:t xml:space="preserve">Peraturan Bank Indonesia No. 13/1/PBI/2011 tentang Kodifikasi peraturan Bank Indonesia. </w:t>
      </w:r>
      <w:r w:rsidRPr="00C62352">
        <w:t>Jakarta: Bank Indonesia.</w:t>
      </w:r>
    </w:p>
    <w:p w:rsidR="008E6DCA" w:rsidRPr="00C62352" w:rsidRDefault="008E6DCA" w:rsidP="0036135D">
      <w:pPr>
        <w:spacing w:line="360" w:lineRule="auto"/>
        <w:ind w:left="567" w:hanging="567"/>
        <w:jc w:val="both"/>
      </w:pPr>
      <w:r w:rsidRPr="00C62352">
        <w:rPr>
          <w:u w:val="single"/>
        </w:rPr>
        <w:t xml:space="preserve">                           </w:t>
      </w:r>
      <w:r w:rsidRPr="00C62352">
        <w:t xml:space="preserve">. 2013. </w:t>
      </w:r>
      <w:r w:rsidRPr="00C62352">
        <w:rPr>
          <w:i/>
        </w:rPr>
        <w:t xml:space="preserve">Peraturan Bank Indonesia No. 15/2/PBI/2013 tentang Penilaian Tingkat Kesehatan Bank. </w:t>
      </w:r>
      <w:r w:rsidRPr="00C62352">
        <w:t>Jakarta: Bank Indonesia.</w:t>
      </w:r>
    </w:p>
    <w:p w:rsidR="008E6DCA" w:rsidRDefault="008E6DCA" w:rsidP="0036135D">
      <w:pPr>
        <w:spacing w:line="360" w:lineRule="auto"/>
        <w:ind w:left="567" w:hanging="567"/>
        <w:jc w:val="both"/>
      </w:pPr>
      <w:r w:rsidRPr="00C62352">
        <w:rPr>
          <w:u w:val="single"/>
        </w:rPr>
        <w:t xml:space="preserve">                           </w:t>
      </w:r>
      <w:r w:rsidRPr="00C62352">
        <w:t xml:space="preserve">. 1998. </w:t>
      </w:r>
      <w:r w:rsidRPr="00C62352">
        <w:rPr>
          <w:i/>
        </w:rPr>
        <w:t xml:space="preserve">Undang-Undang Perbankan N0. 10 tentang Pengertian Perbankan. </w:t>
      </w:r>
      <w:r w:rsidRPr="00C62352">
        <w:t>Jakarta: Bank Indonesia.</w:t>
      </w:r>
    </w:p>
    <w:p w:rsidR="008E6DCA" w:rsidRDefault="008E6DCA" w:rsidP="0036135D">
      <w:pPr>
        <w:spacing w:line="360" w:lineRule="auto"/>
        <w:ind w:left="567" w:hanging="567"/>
        <w:jc w:val="both"/>
      </w:pPr>
      <w:r w:rsidRPr="00C62352">
        <w:t xml:space="preserve">Arisanti, Rizqi. 2014. </w:t>
      </w:r>
      <w:r w:rsidRPr="00C62352">
        <w:rPr>
          <w:i/>
        </w:rPr>
        <w:t xml:space="preserve">Pengaruh Modal Terhadap Tingkat Rentabilitas Pada Koperasi KPRI PALEMBANG periode 2010-2012. </w:t>
      </w:r>
      <w:r w:rsidRPr="00C62352">
        <w:t>Politeknik Negeri Sriwijaya. Palembang.</w:t>
      </w:r>
    </w:p>
    <w:p w:rsidR="004D2777" w:rsidRPr="00C62352" w:rsidRDefault="004D2777" w:rsidP="0036135D">
      <w:pPr>
        <w:spacing w:line="360" w:lineRule="auto"/>
        <w:ind w:left="567" w:hanging="567"/>
        <w:jc w:val="both"/>
      </w:pPr>
      <w:r w:rsidRPr="006A3D55">
        <w:rPr>
          <w:i/>
          <w:iCs/>
          <w:lang w:val="id-ID"/>
        </w:rPr>
        <w:t>Bursa Efek Indonesia</w:t>
      </w:r>
      <w:r w:rsidRPr="006A3D55">
        <w:rPr>
          <w:lang w:val="id-ID"/>
        </w:rPr>
        <w:t xml:space="preserve">. Dipetik November 3, 2015, dari </w:t>
      </w:r>
      <w:r w:rsidRPr="00CA4427">
        <w:rPr>
          <w:color w:val="0070C0"/>
          <w:u w:val="single"/>
          <w:lang w:val="id-ID"/>
        </w:rPr>
        <w:t>www.idx.co.id</w:t>
      </w:r>
    </w:p>
    <w:p w:rsidR="008E6DCA" w:rsidRDefault="008E6DCA" w:rsidP="0036135D">
      <w:pPr>
        <w:spacing w:line="360" w:lineRule="auto"/>
        <w:ind w:left="567" w:hanging="567"/>
        <w:jc w:val="both"/>
      </w:pPr>
      <w:r w:rsidRPr="00C62352">
        <w:t xml:space="preserve">Haerani, Rini. 2015. </w:t>
      </w:r>
      <w:r w:rsidRPr="00C62352">
        <w:rPr>
          <w:i/>
        </w:rPr>
        <w:t>Pengaruh Risk Profil, Good Corporate Governance, Earning dan Capital Terhadap Nilai Perusahaan Pada Perusahaan Perbankan Di Indonesia Yang Terdaftar di Bursa Efek Indonesia</w:t>
      </w:r>
      <w:r w:rsidRPr="00C62352">
        <w:t>. Universitas Esa Unggul.  Jakarta.</w:t>
      </w:r>
    </w:p>
    <w:p w:rsidR="008E6DCA" w:rsidRPr="00C62352" w:rsidRDefault="008E6DCA" w:rsidP="0036135D">
      <w:pPr>
        <w:spacing w:line="360" w:lineRule="auto"/>
        <w:ind w:left="567" w:hanging="567"/>
        <w:jc w:val="both"/>
      </w:pPr>
      <w:r w:rsidRPr="00C62352">
        <w:t xml:space="preserve">Juwenda, I KT Galih Mitra. 2014. </w:t>
      </w:r>
      <w:r w:rsidRPr="00C62352">
        <w:rPr>
          <w:i/>
        </w:rPr>
        <w:t>Analisi Peerapan Peraturan Bank Indonesia No.13/1/PBI/2011 Terhadap Nilai Perusahaan</w:t>
      </w:r>
      <w:r w:rsidRPr="00C62352">
        <w:t>. Universitas Mataram.  Mataram.</w:t>
      </w:r>
    </w:p>
    <w:p w:rsidR="008E6DCA" w:rsidRPr="00C62352" w:rsidRDefault="008E6DCA" w:rsidP="0036135D">
      <w:pPr>
        <w:spacing w:line="360" w:lineRule="auto"/>
        <w:ind w:left="567" w:hanging="567"/>
        <w:jc w:val="both"/>
      </w:pPr>
      <w:r w:rsidRPr="00C62352">
        <w:t xml:space="preserve">Murhadi, Werner R. 2013. </w:t>
      </w:r>
      <w:r w:rsidRPr="00C62352">
        <w:rPr>
          <w:i/>
        </w:rPr>
        <w:t>Analisis Laporan Keuangan</w:t>
      </w:r>
      <w:r w:rsidRPr="00C62352">
        <w:t>. Jakarta: Salemba Empat.</w:t>
      </w:r>
    </w:p>
    <w:p w:rsidR="008E6DCA" w:rsidRPr="00C62352" w:rsidRDefault="008E6DCA" w:rsidP="0036135D">
      <w:pPr>
        <w:spacing w:line="360" w:lineRule="auto"/>
        <w:ind w:left="567" w:hanging="567"/>
        <w:jc w:val="both"/>
      </w:pPr>
      <w:r w:rsidRPr="00C62352">
        <w:t xml:space="preserve">Sugiono. 2010. </w:t>
      </w:r>
      <w:r w:rsidRPr="00C62352">
        <w:rPr>
          <w:i/>
        </w:rPr>
        <w:t>Metode Penelitian Kuantitatif, Kualitatif dan R&amp;D.</w:t>
      </w:r>
      <w:r w:rsidRPr="00C62352">
        <w:t xml:space="preserve"> Bandung: Alfabeta.</w:t>
      </w:r>
    </w:p>
    <w:p w:rsidR="008E6DCA" w:rsidRPr="00C62352" w:rsidRDefault="008E6DCA" w:rsidP="0036135D">
      <w:pPr>
        <w:spacing w:line="360" w:lineRule="auto"/>
        <w:ind w:left="567" w:hanging="567"/>
        <w:jc w:val="both"/>
      </w:pPr>
      <w:r w:rsidRPr="00C62352">
        <w:t xml:space="preserve">Sujarweni, V. Wiratna. 2015. </w:t>
      </w:r>
      <w:r w:rsidRPr="00C62352">
        <w:rPr>
          <w:i/>
        </w:rPr>
        <w:t xml:space="preserve">Metodologi Penelitian Bisnis &amp; Ekonomi. </w:t>
      </w:r>
      <w:r w:rsidRPr="00C62352">
        <w:t>Yogyakarta.</w:t>
      </w:r>
    </w:p>
    <w:p w:rsidR="008E6DCA" w:rsidRPr="00C62352" w:rsidRDefault="008E6DCA" w:rsidP="0036135D">
      <w:pPr>
        <w:spacing w:line="360" w:lineRule="auto"/>
        <w:ind w:left="567" w:hanging="567"/>
        <w:jc w:val="both"/>
      </w:pPr>
      <w:r w:rsidRPr="00C62352">
        <w:t xml:space="preserve">Supriyono, Maryanto. 2010. </w:t>
      </w:r>
      <w:r w:rsidRPr="00C62352">
        <w:rPr>
          <w:i/>
        </w:rPr>
        <w:t>Buku Pintar Perbankan dilengkapi dengan studi kasus dan kamus istilah perbankan.</w:t>
      </w:r>
      <w:r w:rsidRPr="00C62352">
        <w:t xml:space="preserve"> Bandung: Penerbit Andi.</w:t>
      </w:r>
    </w:p>
    <w:p w:rsidR="008E6DCA" w:rsidRPr="00C62352" w:rsidRDefault="008E6DCA" w:rsidP="0036135D">
      <w:pPr>
        <w:spacing w:line="360" w:lineRule="auto"/>
        <w:ind w:left="567" w:hanging="567"/>
        <w:jc w:val="both"/>
      </w:pPr>
      <w:r w:rsidRPr="00310137">
        <w:t xml:space="preserve">Sutedi, Andrian.2015. </w:t>
      </w:r>
      <w:r w:rsidRPr="00310137">
        <w:rPr>
          <w:i/>
        </w:rPr>
        <w:t>Hukum Perseroan Terbatas</w:t>
      </w:r>
      <w:r w:rsidRPr="00310137">
        <w:t>. Raih Asa Sukses. Jakarta.</w:t>
      </w:r>
    </w:p>
    <w:p w:rsidR="008E6DCA" w:rsidRPr="00C62352" w:rsidRDefault="008E6DCA" w:rsidP="0036135D">
      <w:pPr>
        <w:spacing w:line="360" w:lineRule="auto"/>
        <w:ind w:left="567" w:hanging="567"/>
        <w:jc w:val="both"/>
      </w:pPr>
      <w:r w:rsidRPr="00C62352">
        <w:t xml:space="preserve">Utami, Santi Budi. 2015. </w:t>
      </w:r>
      <w:r w:rsidRPr="00C62352">
        <w:rPr>
          <w:i/>
        </w:rPr>
        <w:t>Perbandingan</w:t>
      </w:r>
      <w:r w:rsidRPr="00C62352">
        <w:t xml:space="preserve"> </w:t>
      </w:r>
      <w:r w:rsidRPr="00C62352">
        <w:rPr>
          <w:i/>
        </w:rPr>
        <w:t>Analisis Camels dan RGEC Dalam Penilaian Tingkat Kesehatan Bank Pada Unit Usaha Syariah Milik Pemerintah (Studi Kasus: PT.BANK NEGARA INDONESIA, TBK Tahun 2012-203)</w:t>
      </w:r>
      <w:r w:rsidRPr="00C62352">
        <w:t>. Universitas Negeri. Yogyakarta.</w:t>
      </w:r>
    </w:p>
    <w:p w:rsidR="00482F53" w:rsidRPr="00BC277E" w:rsidRDefault="00482F53" w:rsidP="0036135D">
      <w:pPr>
        <w:spacing w:line="360" w:lineRule="auto"/>
        <w:ind w:left="720" w:hanging="720"/>
        <w:jc w:val="both"/>
      </w:pPr>
    </w:p>
    <w:sectPr w:rsidR="00482F53" w:rsidRPr="00BC277E" w:rsidSect="00F65885">
      <w:headerReference w:type="even" r:id="rId13"/>
      <w:headerReference w:type="default" r:id="rId14"/>
      <w:footerReference w:type="default" r:id="rId15"/>
      <w:headerReference w:type="first" r:id="rId16"/>
      <w:footerReference w:type="first" r:id="rId17"/>
      <w:type w:val="continuous"/>
      <w:pgSz w:w="11909" w:h="16834" w:code="9"/>
      <w:pgMar w:top="1588" w:right="1418" w:bottom="1418" w:left="1418" w:header="851" w:footer="851" w:gutter="0"/>
      <w:pgNumType w:start="1"/>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C60" w:rsidRDefault="00926C60">
      <w:r>
        <w:separator/>
      </w:r>
    </w:p>
  </w:endnote>
  <w:endnote w:type="continuationSeparator" w:id="0">
    <w:p w:rsidR="00926C60" w:rsidRDefault="00926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351119"/>
      <w:docPartObj>
        <w:docPartGallery w:val="Page Numbers (Bottom of Page)"/>
        <w:docPartUnique/>
      </w:docPartObj>
    </w:sdtPr>
    <w:sdtEndPr/>
    <w:sdtContent>
      <w:p w:rsidR="00F65885" w:rsidRDefault="00926C60">
        <w:pPr>
          <w:pStyle w:val="Footer"/>
          <w:jc w:val="right"/>
        </w:pPr>
        <w:r>
          <w:fldChar w:fldCharType="begin"/>
        </w:r>
        <w:r>
          <w:instrText xml:space="preserve"> PAGE   \* MERGEFORMAT </w:instrText>
        </w:r>
        <w:r>
          <w:fldChar w:fldCharType="separate"/>
        </w:r>
        <w:r w:rsidR="005A5B6B">
          <w:rPr>
            <w:noProof/>
          </w:rPr>
          <w:t>1</w:t>
        </w:r>
        <w:r>
          <w:rPr>
            <w:noProof/>
          </w:rPr>
          <w:fldChar w:fldCharType="end"/>
        </w:r>
      </w:p>
    </w:sdtContent>
  </w:sdt>
  <w:p w:rsidR="00F51824" w:rsidRDefault="00F51824" w:rsidP="00F41C66">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351118"/>
      <w:docPartObj>
        <w:docPartGallery w:val="Page Numbers (Bottom of Page)"/>
        <w:docPartUnique/>
      </w:docPartObj>
    </w:sdtPr>
    <w:sdtEndPr/>
    <w:sdtContent>
      <w:p w:rsidR="00F65885" w:rsidRDefault="00926C60">
        <w:pPr>
          <w:pStyle w:val="Footer"/>
          <w:jc w:val="right"/>
        </w:pPr>
        <w:r>
          <w:fldChar w:fldCharType="begin"/>
        </w:r>
        <w:r>
          <w:instrText xml:space="preserve"> PAGE   \* MERGEFORMAT </w:instrText>
        </w:r>
        <w:r>
          <w:fldChar w:fldCharType="separate"/>
        </w:r>
        <w:r w:rsidR="00F65885">
          <w:rPr>
            <w:noProof/>
          </w:rPr>
          <w:t>1</w:t>
        </w:r>
        <w:r>
          <w:rPr>
            <w:noProof/>
          </w:rPr>
          <w:fldChar w:fldCharType="end"/>
        </w:r>
      </w:p>
    </w:sdtContent>
  </w:sdt>
  <w:p w:rsidR="00F51824" w:rsidRDefault="00F51824" w:rsidP="007F37FF">
    <w:pPr>
      <w:pStyle w:val="Footer"/>
      <w:spacing w:before="100" w:beforeAutospacing="1"/>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C60" w:rsidRDefault="00926C60">
      <w:r>
        <w:separator/>
      </w:r>
    </w:p>
  </w:footnote>
  <w:footnote w:type="continuationSeparator" w:id="0">
    <w:p w:rsidR="00926C60" w:rsidRDefault="00926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824" w:rsidRDefault="00C15D80" w:rsidP="00F45691">
    <w:pPr>
      <w:pStyle w:val="Header"/>
      <w:tabs>
        <w:tab w:val="clear" w:pos="4680"/>
        <w:tab w:val="clear" w:pos="9360"/>
        <w:tab w:val="right" w:pos="9072"/>
      </w:tabs>
    </w:pPr>
    <w:r>
      <w:rPr>
        <w:i/>
        <w:sz w:val="22"/>
        <w:szCs w:val="22"/>
      </w:rPr>
      <w:tab/>
    </w:r>
    <w:r w:rsidR="00F51824">
      <w:rPr>
        <w:i/>
        <w:sz w:val="22"/>
        <w:szCs w:val="22"/>
      </w:rPr>
      <w:t>Seminar Nasional GCA 2016</w:t>
    </w:r>
  </w:p>
  <w:p w:rsidR="00F51824" w:rsidRPr="00F45691" w:rsidRDefault="00F51824" w:rsidP="00F456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824" w:rsidRDefault="00C15D80" w:rsidP="001F06BF">
    <w:pPr>
      <w:pStyle w:val="Header"/>
      <w:tabs>
        <w:tab w:val="clear" w:pos="4680"/>
        <w:tab w:val="clear" w:pos="9360"/>
        <w:tab w:val="right" w:pos="9072"/>
      </w:tabs>
    </w:pPr>
    <w:r>
      <w:rPr>
        <w:i/>
        <w:sz w:val="22"/>
        <w:szCs w:val="22"/>
      </w:rPr>
      <w:tab/>
    </w:r>
    <w:r w:rsidR="00F51824">
      <w:rPr>
        <w:i/>
        <w:sz w:val="22"/>
        <w:szCs w:val="22"/>
      </w:rPr>
      <w:t>Seminar Nasional GCA 2016</w:t>
    </w:r>
  </w:p>
  <w:p w:rsidR="00F51824" w:rsidRPr="00482F53" w:rsidRDefault="00F51824" w:rsidP="00F338AE">
    <w:pPr>
      <w:pStyle w:val="Header"/>
      <w:tabs>
        <w:tab w:val="clear" w:pos="4680"/>
        <w:tab w:val="clear" w:pos="9360"/>
        <w:tab w:val="right" w:pos="9180"/>
      </w:tabs>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824" w:rsidRDefault="00F51824" w:rsidP="007F37FF">
    <w:pPr>
      <w:pStyle w:val="Header"/>
      <w:tabs>
        <w:tab w:val="clear" w:pos="4680"/>
        <w:tab w:val="clear" w:pos="9360"/>
        <w:tab w:val="right" w:pos="9072"/>
      </w:tabs>
    </w:pPr>
    <w:r>
      <w:rPr>
        <w:i/>
        <w:sz w:val="22"/>
        <w:szCs w:val="22"/>
      </w:rPr>
      <w:tab/>
      <w:t>Seminar Nasional GCA 2016</w:t>
    </w:r>
  </w:p>
  <w:p w:rsidR="00F51824" w:rsidRDefault="00F518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9F2289"/>
    <w:multiLevelType w:val="hybridMultilevel"/>
    <w:tmpl w:val="1BB44C48"/>
    <w:lvl w:ilvl="0" w:tplc="15E083F6">
      <w:start w:val="1"/>
      <w:numFmt w:val="lowerLetter"/>
      <w:lvlText w:val="%1."/>
      <w:lvlJc w:val="left"/>
      <w:pPr>
        <w:ind w:left="423" w:hanging="360"/>
      </w:pPr>
      <w:rPr>
        <w:rFonts w:hint="default"/>
      </w:rPr>
    </w:lvl>
    <w:lvl w:ilvl="1" w:tplc="04210019" w:tentative="1">
      <w:start w:val="1"/>
      <w:numFmt w:val="lowerLetter"/>
      <w:lvlText w:val="%2."/>
      <w:lvlJc w:val="left"/>
      <w:pPr>
        <w:ind w:left="1143" w:hanging="360"/>
      </w:pPr>
    </w:lvl>
    <w:lvl w:ilvl="2" w:tplc="0421001B" w:tentative="1">
      <w:start w:val="1"/>
      <w:numFmt w:val="lowerRoman"/>
      <w:lvlText w:val="%3."/>
      <w:lvlJc w:val="right"/>
      <w:pPr>
        <w:ind w:left="1863" w:hanging="180"/>
      </w:pPr>
    </w:lvl>
    <w:lvl w:ilvl="3" w:tplc="0421000F" w:tentative="1">
      <w:start w:val="1"/>
      <w:numFmt w:val="decimal"/>
      <w:lvlText w:val="%4."/>
      <w:lvlJc w:val="left"/>
      <w:pPr>
        <w:ind w:left="2583" w:hanging="360"/>
      </w:pPr>
    </w:lvl>
    <w:lvl w:ilvl="4" w:tplc="04210019" w:tentative="1">
      <w:start w:val="1"/>
      <w:numFmt w:val="lowerLetter"/>
      <w:lvlText w:val="%5."/>
      <w:lvlJc w:val="left"/>
      <w:pPr>
        <w:ind w:left="3303" w:hanging="360"/>
      </w:pPr>
    </w:lvl>
    <w:lvl w:ilvl="5" w:tplc="0421001B" w:tentative="1">
      <w:start w:val="1"/>
      <w:numFmt w:val="lowerRoman"/>
      <w:lvlText w:val="%6."/>
      <w:lvlJc w:val="right"/>
      <w:pPr>
        <w:ind w:left="4023" w:hanging="180"/>
      </w:pPr>
    </w:lvl>
    <w:lvl w:ilvl="6" w:tplc="0421000F" w:tentative="1">
      <w:start w:val="1"/>
      <w:numFmt w:val="decimal"/>
      <w:lvlText w:val="%7."/>
      <w:lvlJc w:val="left"/>
      <w:pPr>
        <w:ind w:left="4743" w:hanging="360"/>
      </w:pPr>
    </w:lvl>
    <w:lvl w:ilvl="7" w:tplc="04210019" w:tentative="1">
      <w:start w:val="1"/>
      <w:numFmt w:val="lowerLetter"/>
      <w:lvlText w:val="%8."/>
      <w:lvlJc w:val="left"/>
      <w:pPr>
        <w:ind w:left="5463" w:hanging="360"/>
      </w:pPr>
    </w:lvl>
    <w:lvl w:ilvl="8" w:tplc="0421001B" w:tentative="1">
      <w:start w:val="1"/>
      <w:numFmt w:val="lowerRoman"/>
      <w:lvlText w:val="%9."/>
      <w:lvlJc w:val="right"/>
      <w:pPr>
        <w:ind w:left="6183" w:hanging="180"/>
      </w:pPr>
    </w:lvl>
  </w:abstractNum>
  <w:abstractNum w:abstractNumId="3">
    <w:nsid w:val="0E033C25"/>
    <w:multiLevelType w:val="hybridMultilevel"/>
    <w:tmpl w:val="FECEEC72"/>
    <w:lvl w:ilvl="0" w:tplc="6B061EB6">
      <w:start w:val="1"/>
      <w:numFmt w:val="decimal"/>
      <w:lvlText w:val="4.%1"/>
      <w:lvlJc w:val="left"/>
      <w:pPr>
        <w:ind w:left="1004" w:hanging="360"/>
      </w:pPr>
      <w:rPr>
        <w:rFonts w:hint="default"/>
        <w:b w:val="0"/>
        <w:i/>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C91C57"/>
    <w:multiLevelType w:val="hybridMultilevel"/>
    <w:tmpl w:val="6C44D5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45773A"/>
    <w:multiLevelType w:val="multilevel"/>
    <w:tmpl w:val="F840451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7">
    <w:nsid w:val="24E92C9E"/>
    <w:multiLevelType w:val="hybridMultilevel"/>
    <w:tmpl w:val="93CC7C46"/>
    <w:lvl w:ilvl="0" w:tplc="F090671E">
      <w:start w:val="1"/>
      <w:numFmt w:val="decimal"/>
      <w:lvlText w:val="5.%1"/>
      <w:lvlJc w:val="left"/>
      <w:pPr>
        <w:ind w:left="1004" w:hanging="360"/>
      </w:pPr>
      <w:rPr>
        <w:rFonts w:hint="default"/>
        <w:b w:val="0"/>
        <w:i/>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29711FDB"/>
    <w:multiLevelType w:val="hybridMultilevel"/>
    <w:tmpl w:val="B01816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931809"/>
    <w:multiLevelType w:val="hybridMultilevel"/>
    <w:tmpl w:val="1BBE9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72773F"/>
    <w:multiLevelType w:val="hybridMultilevel"/>
    <w:tmpl w:val="E542B7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8F5DDB"/>
    <w:multiLevelType w:val="hybridMultilevel"/>
    <w:tmpl w:val="E3DCEC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FD6E21"/>
    <w:multiLevelType w:val="hybridMultilevel"/>
    <w:tmpl w:val="F46A4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D5026F"/>
    <w:multiLevelType w:val="hybridMultilevel"/>
    <w:tmpl w:val="534E2758"/>
    <w:lvl w:ilvl="0" w:tplc="1DA0DC4A">
      <w:start w:val="1"/>
      <w:numFmt w:val="decimal"/>
      <w:lvlText w:val="2.%1"/>
      <w:lvlJc w:val="left"/>
      <w:pPr>
        <w:ind w:left="1004" w:hanging="360"/>
      </w:pPr>
      <w:rPr>
        <w:rFonts w:hint="default"/>
        <w:b w:val="0"/>
        <w:i/>
        <w:u w:val="none"/>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65AA7D8F"/>
    <w:multiLevelType w:val="hybridMultilevel"/>
    <w:tmpl w:val="371EF9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020D0B"/>
    <w:multiLevelType w:val="hybridMultilevel"/>
    <w:tmpl w:val="7BF005B2"/>
    <w:lvl w:ilvl="0" w:tplc="BD52756E">
      <w:start w:val="1"/>
      <w:numFmt w:val="decimal"/>
      <w:lvlText w:val="3.%1"/>
      <w:lvlJc w:val="left"/>
      <w:pPr>
        <w:ind w:left="1004"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 w:numId="2">
    <w:abstractNumId w:val="12"/>
  </w:num>
  <w:num w:numId="3">
    <w:abstractNumId w:val="1"/>
  </w:num>
  <w:num w:numId="4">
    <w:abstractNumId w:val="4"/>
  </w:num>
  <w:num w:numId="5">
    <w:abstractNumId w:val="9"/>
  </w:num>
  <w:num w:numId="6">
    <w:abstractNumId w:val="6"/>
  </w:num>
  <w:num w:numId="7">
    <w:abstractNumId w:val="15"/>
  </w:num>
  <w:num w:numId="8">
    <w:abstractNumId w:val="3"/>
  </w:num>
  <w:num w:numId="9">
    <w:abstractNumId w:val="13"/>
  </w:num>
  <w:num w:numId="10">
    <w:abstractNumId w:val="7"/>
  </w:num>
  <w:num w:numId="11">
    <w:abstractNumId w:val="2"/>
  </w:num>
  <w:num w:numId="12">
    <w:abstractNumId w:val="5"/>
  </w:num>
  <w:num w:numId="13">
    <w:abstractNumId w:val="10"/>
  </w:num>
  <w:num w:numId="14">
    <w:abstractNumId w:val="11"/>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16C00"/>
    <w:rsid w:val="00016F9A"/>
    <w:rsid w:val="00017BCC"/>
    <w:rsid w:val="001837D7"/>
    <w:rsid w:val="001F06BF"/>
    <w:rsid w:val="00201B74"/>
    <w:rsid w:val="00203B5F"/>
    <w:rsid w:val="0021008A"/>
    <w:rsid w:val="00214280"/>
    <w:rsid w:val="002241B8"/>
    <w:rsid w:val="002318A5"/>
    <w:rsid w:val="00240055"/>
    <w:rsid w:val="0026082E"/>
    <w:rsid w:val="0026234A"/>
    <w:rsid w:val="00307AC7"/>
    <w:rsid w:val="00324AFE"/>
    <w:rsid w:val="00336B34"/>
    <w:rsid w:val="003428CD"/>
    <w:rsid w:val="00343BBD"/>
    <w:rsid w:val="003451AD"/>
    <w:rsid w:val="0036135D"/>
    <w:rsid w:val="0036364B"/>
    <w:rsid w:val="004013F0"/>
    <w:rsid w:val="004109C8"/>
    <w:rsid w:val="00432518"/>
    <w:rsid w:val="00482F53"/>
    <w:rsid w:val="004A6B49"/>
    <w:rsid w:val="004B781C"/>
    <w:rsid w:val="004C5327"/>
    <w:rsid w:val="004D2777"/>
    <w:rsid w:val="005054DE"/>
    <w:rsid w:val="00537675"/>
    <w:rsid w:val="00537B57"/>
    <w:rsid w:val="005419D3"/>
    <w:rsid w:val="00541D2A"/>
    <w:rsid w:val="005468FD"/>
    <w:rsid w:val="00580208"/>
    <w:rsid w:val="00582C67"/>
    <w:rsid w:val="005A5B6B"/>
    <w:rsid w:val="006048B8"/>
    <w:rsid w:val="00612CF4"/>
    <w:rsid w:val="006459CF"/>
    <w:rsid w:val="006636B1"/>
    <w:rsid w:val="00693FDB"/>
    <w:rsid w:val="00713F5B"/>
    <w:rsid w:val="00733761"/>
    <w:rsid w:val="007432C2"/>
    <w:rsid w:val="00791782"/>
    <w:rsid w:val="007A0CBD"/>
    <w:rsid w:val="007D1129"/>
    <w:rsid w:val="007E0174"/>
    <w:rsid w:val="007F37FF"/>
    <w:rsid w:val="007F3CF3"/>
    <w:rsid w:val="0080184F"/>
    <w:rsid w:val="0084586B"/>
    <w:rsid w:val="008964A4"/>
    <w:rsid w:val="008C576E"/>
    <w:rsid w:val="008E6DCA"/>
    <w:rsid w:val="009243FC"/>
    <w:rsid w:val="00926C60"/>
    <w:rsid w:val="009331BC"/>
    <w:rsid w:val="0099047D"/>
    <w:rsid w:val="009B441A"/>
    <w:rsid w:val="009C6BDC"/>
    <w:rsid w:val="009D4C59"/>
    <w:rsid w:val="009F3609"/>
    <w:rsid w:val="009F3F7F"/>
    <w:rsid w:val="00A03ECE"/>
    <w:rsid w:val="00A45350"/>
    <w:rsid w:val="00A5312A"/>
    <w:rsid w:val="00A54B10"/>
    <w:rsid w:val="00A72B34"/>
    <w:rsid w:val="00A8173C"/>
    <w:rsid w:val="00A93D6A"/>
    <w:rsid w:val="00AE435A"/>
    <w:rsid w:val="00B178C0"/>
    <w:rsid w:val="00B41836"/>
    <w:rsid w:val="00B445C0"/>
    <w:rsid w:val="00B73A5A"/>
    <w:rsid w:val="00BA1ADD"/>
    <w:rsid w:val="00BC277E"/>
    <w:rsid w:val="00BC782F"/>
    <w:rsid w:val="00BD4300"/>
    <w:rsid w:val="00BE3BC2"/>
    <w:rsid w:val="00BE5E04"/>
    <w:rsid w:val="00BE7B73"/>
    <w:rsid w:val="00C15D80"/>
    <w:rsid w:val="00C35CDC"/>
    <w:rsid w:val="00CA633C"/>
    <w:rsid w:val="00CF10C0"/>
    <w:rsid w:val="00D24A08"/>
    <w:rsid w:val="00D500E1"/>
    <w:rsid w:val="00D73172"/>
    <w:rsid w:val="00DA03BE"/>
    <w:rsid w:val="00DB5735"/>
    <w:rsid w:val="00DD48A1"/>
    <w:rsid w:val="00DE6836"/>
    <w:rsid w:val="00E226DA"/>
    <w:rsid w:val="00E41EE6"/>
    <w:rsid w:val="00E501F4"/>
    <w:rsid w:val="00E73F16"/>
    <w:rsid w:val="00E849C2"/>
    <w:rsid w:val="00F007C5"/>
    <w:rsid w:val="00F01E62"/>
    <w:rsid w:val="00F338AE"/>
    <w:rsid w:val="00F41C66"/>
    <w:rsid w:val="00F45691"/>
    <w:rsid w:val="00F51824"/>
    <w:rsid w:val="00F51B6E"/>
    <w:rsid w:val="00F54EC7"/>
    <w:rsid w:val="00F65885"/>
    <w:rsid w:val="00F7073A"/>
    <w:rsid w:val="00F90E17"/>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NormalWeb">
    <w:name w:val="Normal (Web)"/>
    <w:basedOn w:val="Normal"/>
    <w:uiPriority w:val="99"/>
    <w:unhideWhenUsed/>
    <w:rsid w:val="00E849C2"/>
    <w:pPr>
      <w:spacing w:before="100" w:beforeAutospacing="1" w:after="100" w:afterAutospacing="1"/>
    </w:pPr>
    <w:rPr>
      <w:szCs w:val="24"/>
      <w:lang w:val="id-ID" w:eastAsia="id-ID"/>
    </w:rPr>
  </w:style>
  <w:style w:type="character" w:customStyle="1" w:styleId="ListParagraphChar">
    <w:name w:val="List Paragraph Char"/>
    <w:link w:val="ListParagraph"/>
    <w:uiPriority w:val="34"/>
    <w:rsid w:val="00A8173C"/>
    <w:rPr>
      <w:rFonts w:eastAsia="Times New Roman"/>
      <w:szCs w:val="20"/>
    </w:rPr>
  </w:style>
  <w:style w:type="paragraph" w:styleId="BalloonText">
    <w:name w:val="Balloon Text"/>
    <w:basedOn w:val="Normal"/>
    <w:link w:val="BalloonTextChar"/>
    <w:uiPriority w:val="99"/>
    <w:semiHidden/>
    <w:unhideWhenUsed/>
    <w:rsid w:val="001837D7"/>
    <w:rPr>
      <w:rFonts w:ascii="Tahoma" w:hAnsi="Tahoma" w:cs="Tahoma"/>
      <w:sz w:val="16"/>
      <w:szCs w:val="16"/>
    </w:rPr>
  </w:style>
  <w:style w:type="character" w:customStyle="1" w:styleId="BalloonTextChar">
    <w:name w:val="Balloon Text Char"/>
    <w:basedOn w:val="DefaultParagraphFont"/>
    <w:link w:val="BalloonText"/>
    <w:uiPriority w:val="99"/>
    <w:semiHidden/>
    <w:rsid w:val="001837D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NormalWeb">
    <w:name w:val="Normal (Web)"/>
    <w:basedOn w:val="Normal"/>
    <w:uiPriority w:val="99"/>
    <w:unhideWhenUsed/>
    <w:rsid w:val="00E849C2"/>
    <w:pPr>
      <w:spacing w:before="100" w:beforeAutospacing="1" w:after="100" w:afterAutospacing="1"/>
    </w:pPr>
    <w:rPr>
      <w:szCs w:val="24"/>
      <w:lang w:val="id-ID" w:eastAsia="id-ID"/>
    </w:rPr>
  </w:style>
  <w:style w:type="character" w:customStyle="1" w:styleId="ListParagraphChar">
    <w:name w:val="List Paragraph Char"/>
    <w:link w:val="ListParagraph"/>
    <w:uiPriority w:val="34"/>
    <w:rsid w:val="00A8173C"/>
    <w:rPr>
      <w:rFonts w:eastAsia="Times New Roman"/>
      <w:szCs w:val="20"/>
    </w:rPr>
  </w:style>
  <w:style w:type="paragraph" w:styleId="BalloonText">
    <w:name w:val="Balloon Text"/>
    <w:basedOn w:val="Normal"/>
    <w:link w:val="BalloonTextChar"/>
    <w:uiPriority w:val="99"/>
    <w:semiHidden/>
    <w:unhideWhenUsed/>
    <w:rsid w:val="001837D7"/>
    <w:rPr>
      <w:rFonts w:ascii="Tahoma" w:hAnsi="Tahoma" w:cs="Tahoma"/>
      <w:sz w:val="16"/>
      <w:szCs w:val="16"/>
    </w:rPr>
  </w:style>
  <w:style w:type="character" w:customStyle="1" w:styleId="BalloonTextChar">
    <w:name w:val="Balloon Text Char"/>
    <w:basedOn w:val="DefaultParagraphFont"/>
    <w:link w:val="BalloonText"/>
    <w:uiPriority w:val="99"/>
    <w:semiHidden/>
    <w:rsid w:val="001837D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drian.noviardy@binadarma.ac.id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oppy.indriani@binadarma.ac.id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zainalheripin@gmai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696B8-32D3-4EE5-9477-D7B3E9FA2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3660</Words>
  <Characters>20864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Jurnal</vt:lpstr>
    </vt:vector>
  </TitlesOfParts>
  <Company>Deftones</Company>
  <LinksUpToDate>false</LinksUpToDate>
  <CharactersWithSpaces>24476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dc:title>
  <dc:creator>Nadya Ayu Satriani</dc:creator>
  <cp:lastModifiedBy>7</cp:lastModifiedBy>
  <cp:revision>2</cp:revision>
  <cp:lastPrinted>2016-02-22T07:59:00Z</cp:lastPrinted>
  <dcterms:created xsi:type="dcterms:W3CDTF">2016-08-01T08:16:00Z</dcterms:created>
  <dcterms:modified xsi:type="dcterms:W3CDTF">2016-08-01T08:16:00Z</dcterms:modified>
</cp:coreProperties>
</file>